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宋体"/>
        </w:rPr>
      </w:pPr>
      <w:bookmarkStart w:id="0" w:name="_Toc17394"/>
      <w:bookmarkStart w:id="1" w:name="_Hlk33620625"/>
      <w:bookmarkStart w:id="2" w:name="_Toc32242"/>
      <w:bookmarkStart w:id="3" w:name="_Toc13922"/>
      <w:r>
        <w:rPr>
          <w:rFonts w:hint="eastAsia" w:ascii="宋体" w:hAnsi="宋体" w:eastAsia="宋体" w:cs="宋体"/>
        </w:rPr>
        <w:drawing>
          <wp:inline distT="0" distB="0" distL="114300" distR="114300">
            <wp:extent cx="1728470" cy="1400175"/>
            <wp:effectExtent l="0" t="0" r="11430" b="9525"/>
            <wp:docPr id="1" name="图片 1" descr="CALIS全国农学文献信息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ALIS全国农学文献信息中心logo"/>
                    <pic:cNvPicPr>
                      <a:picLocks noChangeAspect="1"/>
                    </pic:cNvPicPr>
                  </pic:nvPicPr>
                  <pic:blipFill>
                    <a:blip r:embed="rId6"/>
                    <a:stretch>
                      <a:fillRect/>
                    </a:stretch>
                  </pic:blipFill>
                  <pic:spPr>
                    <a:xfrm>
                      <a:off x="0" y="0"/>
                      <a:ext cx="1728470" cy="1400175"/>
                    </a:xfrm>
                    <a:prstGeom prst="rect">
                      <a:avLst/>
                    </a:prstGeom>
                    <a:noFill/>
                    <a:ln>
                      <a:noFill/>
                    </a:ln>
                  </pic:spPr>
                </pic:pic>
              </a:graphicData>
            </a:graphic>
          </wp:inline>
        </w:drawing>
      </w:r>
      <w:r>
        <w:rPr>
          <w:rFonts w:ascii="宋体" w:hAnsi="宋体" w:eastAsia="宋体" w:cs="宋体"/>
          <w:sz w:val="20"/>
        </w:rPr>
        <w:pict>
          <v:rect id="_x0000_s1026" o:spid="_x0000_s1026" o:spt="1" style="position:absolute;left:0pt;margin-left:286.8pt;margin-top:27.75pt;height:54.6pt;width:109.65pt;z-index:251658240;mso-width-relative:page;mso-height-relative:page;" coordsize="21600,21600">
            <v:path/>
            <v:fill focussize="0,0"/>
            <v:stroke/>
            <v:imagedata o:title=""/>
            <o:lock v:ext="edit"/>
            <v:textbox>
              <w:txbxContent>
                <w:p>
                  <w:r>
                    <w:rPr>
                      <w:rFonts w:hint="eastAsia"/>
                    </w:rPr>
                    <w:t>项目编号：</w:t>
                  </w:r>
                </w:p>
                <w:p>
                  <w:pPr>
                    <w:jc w:val="center"/>
                    <w:rPr>
                      <w:rFonts w:ascii="华文仿宋" w:hAnsi="华文仿宋" w:eastAsia="华文仿宋"/>
                      <w:sz w:val="24"/>
                      <w:szCs w:val="24"/>
                    </w:rPr>
                  </w:pPr>
                  <w:r>
                    <w:rPr>
                      <w:rFonts w:hint="eastAsia" w:ascii="华文仿宋" w:hAnsi="华文仿宋" w:eastAsia="华文仿宋"/>
                      <w:sz w:val="24"/>
                      <w:szCs w:val="24"/>
                    </w:rPr>
                    <w:t>2019030</w:t>
                  </w:r>
                </w:p>
              </w:txbxContent>
            </v:textbox>
          </v:rect>
        </w:pict>
      </w:r>
    </w:p>
    <w:p>
      <w:pPr>
        <w:rPr>
          <w:rFonts w:ascii="宋体" w:hAnsi="宋体" w:eastAsia="宋体" w:cs="宋体"/>
        </w:rPr>
      </w:pPr>
    </w:p>
    <w:p>
      <w:pPr>
        <w:pStyle w:val="74"/>
        <w:spacing w:line="240" w:lineRule="auto"/>
        <w:rPr>
          <w:rFonts w:hAnsi="宋体" w:eastAsia="宋体" w:cs="宋体"/>
          <w:bCs w:val="0"/>
        </w:rPr>
      </w:pPr>
    </w:p>
    <w:p>
      <w:pPr>
        <w:jc w:val="center"/>
        <w:rPr>
          <w:rFonts w:ascii="宋体" w:hAnsi="宋体" w:eastAsia="宋体" w:cs="宋体"/>
          <w:b/>
          <w:bCs/>
          <w:sz w:val="36"/>
          <w:szCs w:val="36"/>
        </w:rPr>
      </w:pPr>
      <w:r>
        <w:rPr>
          <w:rFonts w:hint="eastAsia" w:ascii="宋体" w:hAnsi="宋体" w:eastAsia="宋体" w:cs="宋体"/>
          <w:b/>
          <w:bCs/>
          <w:sz w:val="36"/>
          <w:szCs w:val="36"/>
        </w:rPr>
        <w:t>CALIS全国农学文献信息中心研究项目</w:t>
      </w:r>
    </w:p>
    <w:p>
      <w:pPr>
        <w:jc w:val="center"/>
        <w:rPr>
          <w:rFonts w:ascii="宋体" w:hAnsi="宋体" w:eastAsia="宋体" w:cs="宋体"/>
          <w:b/>
          <w:bCs/>
          <w:sz w:val="36"/>
          <w:szCs w:val="36"/>
        </w:rPr>
      </w:pPr>
      <w:r>
        <w:rPr>
          <w:rFonts w:hint="eastAsia" w:ascii="宋体" w:hAnsi="宋体" w:eastAsia="宋体" w:cs="宋体"/>
          <w:b/>
          <w:bCs/>
          <w:sz w:val="36"/>
          <w:szCs w:val="36"/>
        </w:rPr>
        <w:t>结题报告</w:t>
      </w:r>
    </w:p>
    <w:p>
      <w:pPr>
        <w:rPr>
          <w:rFonts w:ascii="宋体" w:hAnsi="宋体" w:eastAsia="宋体" w:cs="宋体"/>
          <w:sz w:val="28"/>
        </w:rPr>
      </w:pPr>
    </w:p>
    <w:tbl>
      <w:tblPr>
        <w:tblStyle w:val="10"/>
        <w:tblW w:w="0" w:type="auto"/>
        <w:jc w:val="center"/>
        <w:tblLayout w:type="fixed"/>
        <w:tblCellMar>
          <w:top w:w="0" w:type="dxa"/>
          <w:left w:w="108" w:type="dxa"/>
          <w:bottom w:w="0" w:type="dxa"/>
          <w:right w:w="108" w:type="dxa"/>
        </w:tblCellMar>
      </w:tblPr>
      <w:tblGrid>
        <w:gridCol w:w="2352"/>
        <w:gridCol w:w="5936"/>
      </w:tblGrid>
      <w:tr>
        <w:tblPrEx>
          <w:tblCellMar>
            <w:top w:w="0" w:type="dxa"/>
            <w:left w:w="108" w:type="dxa"/>
            <w:bottom w:w="0" w:type="dxa"/>
            <w:right w:w="108" w:type="dxa"/>
          </w:tblCellMar>
        </w:tblPrEx>
        <w:trPr>
          <w:jc w:val="center"/>
        </w:trPr>
        <w:tc>
          <w:tcPr>
            <w:tcW w:w="2352" w:type="dxa"/>
          </w:tcPr>
          <w:p>
            <w:pPr>
              <w:spacing w:before="156" w:beforeLines="50" w:line="480" w:lineRule="auto"/>
              <w:rPr>
                <w:rFonts w:ascii="宋体" w:hAnsi="宋体" w:eastAsia="宋体" w:cs="宋体"/>
                <w:sz w:val="28"/>
                <w:szCs w:val="28"/>
              </w:rPr>
            </w:pPr>
            <w:r>
              <w:rPr>
                <w:rFonts w:hint="eastAsia" w:ascii="宋体" w:hAnsi="宋体" w:eastAsia="宋体" w:cs="宋体"/>
                <w:sz w:val="28"/>
                <w:szCs w:val="28"/>
              </w:rPr>
              <w:t>项目名称：</w:t>
            </w:r>
          </w:p>
          <w:p>
            <w:pPr>
              <w:spacing w:before="156" w:beforeLines="50" w:line="480" w:lineRule="auto"/>
              <w:rPr>
                <w:rFonts w:ascii="宋体" w:hAnsi="宋体" w:eastAsia="宋体" w:cs="宋体"/>
                <w:sz w:val="28"/>
                <w:szCs w:val="28"/>
              </w:rPr>
            </w:pPr>
            <w:r>
              <w:rPr>
                <w:rFonts w:hint="eastAsia" w:ascii="宋体" w:hAnsi="宋体" w:eastAsia="宋体" w:cs="宋体"/>
                <w:sz w:val="28"/>
                <w:szCs w:val="28"/>
              </w:rPr>
              <w:t xml:space="preserve">项目关键词：     </w:t>
            </w:r>
            <w:r>
              <w:rPr>
                <w:rFonts w:hint="eastAsia" w:ascii="宋体" w:hAnsi="宋体" w:eastAsia="宋体" w:cs="宋体"/>
                <w:sz w:val="28"/>
                <w:szCs w:val="28"/>
                <w:u w:val="single"/>
              </w:rPr>
              <w:t xml:space="preserve">                                                           </w:t>
            </w:r>
          </w:p>
        </w:tc>
        <w:tc>
          <w:tcPr>
            <w:tcW w:w="5936" w:type="dxa"/>
          </w:tcPr>
          <w:p>
            <w:pPr>
              <w:spacing w:before="156" w:beforeLines="50" w:line="480" w:lineRule="auto"/>
              <w:rPr>
                <w:rFonts w:ascii="宋体" w:hAnsi="宋体" w:eastAsia="宋体" w:cs="宋体"/>
                <w:sz w:val="28"/>
                <w:szCs w:val="28"/>
                <w:u w:val="single"/>
              </w:rPr>
            </w:pPr>
            <w:r>
              <w:rPr>
                <w:rFonts w:hint="eastAsia" w:ascii="宋体" w:hAnsi="宋体" w:eastAsia="宋体" w:cs="宋体"/>
                <w:sz w:val="28"/>
                <w:szCs w:val="28"/>
                <w:u w:val="single"/>
              </w:rPr>
              <w:t xml:space="preserve">   </w:t>
            </w:r>
            <w:r>
              <w:rPr>
                <w:rFonts w:hint="eastAsia" w:ascii="宋体" w:hAnsi="宋体" w:eastAsia="宋体" w:cs="宋体"/>
                <w:u w:val="single"/>
              </w:rPr>
              <w:t>高校图书馆业务布局重组及新型服务能力体系构建研究</w:t>
            </w:r>
            <w:r>
              <w:rPr>
                <w:rFonts w:hint="eastAsia" w:ascii="宋体" w:hAnsi="宋体" w:eastAsia="宋体" w:cs="宋体"/>
                <w:sz w:val="28"/>
                <w:szCs w:val="28"/>
                <w:u w:val="single"/>
              </w:rPr>
              <w:t xml:space="preserve">                               </w:t>
            </w:r>
          </w:p>
          <w:p>
            <w:pPr>
              <w:spacing w:before="156" w:beforeLines="50" w:line="480" w:lineRule="auto"/>
              <w:rPr>
                <w:rFonts w:ascii="宋体" w:hAnsi="宋体" w:eastAsia="宋体" w:cs="宋体"/>
                <w:sz w:val="28"/>
                <w:szCs w:val="28"/>
                <w:u w:val="single"/>
              </w:rPr>
            </w:pPr>
            <w:r>
              <w:rPr>
                <w:rFonts w:hint="eastAsia" w:ascii="宋体" w:hAnsi="宋体" w:eastAsia="宋体" w:cs="宋体"/>
                <w:sz w:val="28"/>
                <w:szCs w:val="28"/>
                <w:u w:val="single"/>
              </w:rPr>
              <w:t xml:space="preserve">    图书馆 业务布局  重组  能力                   </w:t>
            </w:r>
          </w:p>
        </w:tc>
      </w:tr>
      <w:tr>
        <w:tblPrEx>
          <w:tblCellMar>
            <w:top w:w="0" w:type="dxa"/>
            <w:left w:w="108" w:type="dxa"/>
            <w:bottom w:w="0" w:type="dxa"/>
            <w:right w:w="108" w:type="dxa"/>
          </w:tblCellMar>
        </w:tblPrEx>
        <w:trPr>
          <w:trHeight w:val="1425" w:hRule="atLeast"/>
          <w:jc w:val="center"/>
        </w:trPr>
        <w:tc>
          <w:tcPr>
            <w:tcW w:w="2352" w:type="dxa"/>
          </w:tcPr>
          <w:p>
            <w:pPr>
              <w:spacing w:before="156" w:beforeLines="50" w:line="480" w:lineRule="auto"/>
              <w:jc w:val="center"/>
              <w:rPr>
                <w:rFonts w:ascii="宋体" w:hAnsi="宋体" w:eastAsia="宋体" w:cs="宋体"/>
                <w:sz w:val="28"/>
                <w:szCs w:val="28"/>
              </w:rPr>
            </w:pPr>
            <w:r>
              <w:rPr>
                <w:rFonts w:hint="eastAsia" w:ascii="宋体" w:hAnsi="宋体" w:eastAsia="宋体" w:cs="宋体"/>
                <w:sz w:val="28"/>
                <w:szCs w:val="28"/>
              </w:rPr>
              <w:t>项目单位（盖章）：</w:t>
            </w:r>
          </w:p>
          <w:p>
            <w:pPr>
              <w:spacing w:before="156" w:beforeLines="50" w:line="480" w:lineRule="auto"/>
              <w:rPr>
                <w:rFonts w:ascii="宋体" w:hAnsi="宋体" w:eastAsia="宋体" w:cs="宋体"/>
                <w:sz w:val="28"/>
                <w:szCs w:val="28"/>
              </w:rPr>
            </w:pPr>
            <w:r>
              <w:rPr>
                <w:rFonts w:hint="eastAsia" w:ascii="宋体" w:hAnsi="宋体" w:eastAsia="宋体" w:cs="宋体"/>
                <w:sz w:val="28"/>
                <w:szCs w:val="28"/>
              </w:rPr>
              <w:t xml:space="preserve">通信地址: </w:t>
            </w:r>
          </w:p>
        </w:tc>
        <w:tc>
          <w:tcPr>
            <w:tcW w:w="5936" w:type="dxa"/>
          </w:tcPr>
          <w:p>
            <w:pPr>
              <w:spacing w:before="156" w:beforeLines="50" w:line="480" w:lineRule="auto"/>
              <w:rPr>
                <w:rFonts w:ascii="宋体" w:hAnsi="宋体" w:eastAsia="宋体" w:cs="宋体"/>
                <w:sz w:val="28"/>
                <w:szCs w:val="28"/>
                <w:u w:val="single"/>
              </w:rPr>
            </w:pPr>
            <w:r>
              <w:rPr>
                <w:rFonts w:hint="eastAsia" w:ascii="宋体" w:hAnsi="宋体" w:eastAsia="宋体" w:cs="宋体"/>
                <w:sz w:val="28"/>
                <w:szCs w:val="28"/>
                <w:u w:val="single"/>
              </w:rPr>
              <w:t xml:space="preserve">      吉林农业大学图书馆                             </w:t>
            </w:r>
          </w:p>
          <w:p>
            <w:pPr>
              <w:spacing w:before="156" w:beforeLines="50" w:line="480" w:lineRule="auto"/>
              <w:rPr>
                <w:rFonts w:ascii="宋体" w:hAnsi="宋体" w:eastAsia="宋体" w:cs="宋体"/>
                <w:sz w:val="28"/>
                <w:szCs w:val="28"/>
              </w:rPr>
            </w:pPr>
            <w:r>
              <w:rPr>
                <w:rFonts w:hint="eastAsia" w:ascii="宋体" w:hAnsi="宋体" w:eastAsia="宋体" w:cs="宋体"/>
                <w:sz w:val="28"/>
                <w:szCs w:val="28"/>
                <w:u w:val="single"/>
              </w:rPr>
              <w:t xml:space="preserve">  130118吉林省长春市新城大街2888号                                </w:t>
            </w:r>
          </w:p>
        </w:tc>
      </w:tr>
      <w:tr>
        <w:tblPrEx>
          <w:tblCellMar>
            <w:top w:w="0" w:type="dxa"/>
            <w:left w:w="108" w:type="dxa"/>
            <w:bottom w:w="0" w:type="dxa"/>
            <w:right w:w="108" w:type="dxa"/>
          </w:tblCellMar>
        </w:tblPrEx>
        <w:trPr>
          <w:jc w:val="center"/>
        </w:trPr>
        <w:tc>
          <w:tcPr>
            <w:tcW w:w="2352" w:type="dxa"/>
          </w:tcPr>
          <w:p>
            <w:pPr>
              <w:spacing w:before="156" w:beforeLines="50" w:line="480" w:lineRule="auto"/>
              <w:rPr>
                <w:rFonts w:ascii="宋体" w:hAnsi="宋体" w:eastAsia="宋体" w:cs="宋体"/>
                <w:sz w:val="28"/>
                <w:szCs w:val="28"/>
              </w:rPr>
            </w:pPr>
            <w:r>
              <w:rPr>
                <w:rFonts w:hint="eastAsia" w:ascii="宋体" w:hAnsi="宋体" w:eastAsia="宋体" w:cs="宋体"/>
                <w:sz w:val="28"/>
                <w:szCs w:val="28"/>
              </w:rPr>
              <w:t>项目主持人：</w:t>
            </w:r>
          </w:p>
        </w:tc>
        <w:tc>
          <w:tcPr>
            <w:tcW w:w="5936" w:type="dxa"/>
          </w:tcPr>
          <w:p>
            <w:pPr>
              <w:spacing w:before="156" w:beforeLines="50" w:line="480" w:lineRule="auto"/>
              <w:rPr>
                <w:rFonts w:ascii="宋体" w:hAnsi="宋体" w:eastAsia="宋体" w:cs="宋体"/>
                <w:sz w:val="28"/>
                <w:szCs w:val="28"/>
                <w:u w:val="single"/>
              </w:rPr>
            </w:pPr>
            <w:r>
              <w:rPr>
                <w:rFonts w:hint="eastAsia" w:ascii="宋体" w:hAnsi="宋体" w:eastAsia="宋体" w:cs="宋体"/>
                <w:sz w:val="28"/>
                <w:szCs w:val="28"/>
                <w:u w:val="single"/>
              </w:rPr>
              <w:t xml:space="preserve">              王春梅                              </w:t>
            </w:r>
          </w:p>
        </w:tc>
      </w:tr>
      <w:tr>
        <w:tblPrEx>
          <w:tblCellMar>
            <w:top w:w="0" w:type="dxa"/>
            <w:left w:w="108" w:type="dxa"/>
            <w:bottom w:w="0" w:type="dxa"/>
            <w:right w:w="108" w:type="dxa"/>
          </w:tblCellMar>
        </w:tblPrEx>
        <w:trPr>
          <w:jc w:val="center"/>
        </w:trPr>
        <w:tc>
          <w:tcPr>
            <w:tcW w:w="2352" w:type="dxa"/>
          </w:tcPr>
          <w:p>
            <w:pPr>
              <w:spacing w:before="156" w:beforeLines="50" w:line="480" w:lineRule="auto"/>
              <w:rPr>
                <w:rFonts w:ascii="宋体" w:hAnsi="宋体" w:eastAsia="宋体" w:cs="宋体"/>
                <w:sz w:val="28"/>
                <w:szCs w:val="28"/>
              </w:rPr>
            </w:pPr>
            <w:r>
              <w:rPr>
                <w:rFonts w:hint="eastAsia" w:ascii="宋体" w:hAnsi="宋体" w:eastAsia="宋体" w:cs="宋体"/>
                <w:sz w:val="28"/>
                <w:szCs w:val="28"/>
              </w:rPr>
              <w:t>联系电话：</w:t>
            </w:r>
          </w:p>
        </w:tc>
        <w:tc>
          <w:tcPr>
            <w:tcW w:w="5936" w:type="dxa"/>
          </w:tcPr>
          <w:p>
            <w:pPr>
              <w:spacing w:before="156" w:beforeLines="50" w:line="480" w:lineRule="auto"/>
              <w:rPr>
                <w:rFonts w:ascii="宋体" w:hAnsi="宋体" w:eastAsia="宋体" w:cs="宋体"/>
                <w:sz w:val="28"/>
                <w:szCs w:val="28"/>
                <w:u w:val="single"/>
              </w:rPr>
            </w:pPr>
            <w:r>
              <w:rPr>
                <w:rFonts w:hint="eastAsia" w:ascii="宋体" w:hAnsi="宋体" w:eastAsia="宋体" w:cs="宋体"/>
                <w:sz w:val="28"/>
                <w:szCs w:val="28"/>
                <w:u w:val="single"/>
              </w:rPr>
              <w:t xml:space="preserve">            13196004127                          </w:t>
            </w:r>
          </w:p>
        </w:tc>
      </w:tr>
      <w:tr>
        <w:tblPrEx>
          <w:tblCellMar>
            <w:top w:w="0" w:type="dxa"/>
            <w:left w:w="108" w:type="dxa"/>
            <w:bottom w:w="0" w:type="dxa"/>
            <w:right w:w="108" w:type="dxa"/>
          </w:tblCellMar>
        </w:tblPrEx>
        <w:trPr>
          <w:jc w:val="center"/>
        </w:trPr>
        <w:tc>
          <w:tcPr>
            <w:tcW w:w="2352" w:type="dxa"/>
          </w:tcPr>
          <w:p>
            <w:pPr>
              <w:spacing w:before="156" w:beforeLines="50" w:line="480" w:lineRule="auto"/>
              <w:rPr>
                <w:rFonts w:ascii="宋体" w:hAnsi="宋体" w:eastAsia="宋体" w:cs="宋体"/>
                <w:sz w:val="28"/>
                <w:szCs w:val="28"/>
              </w:rPr>
            </w:pPr>
            <w:r>
              <w:rPr>
                <w:rFonts w:hint="eastAsia" w:ascii="宋体" w:hAnsi="宋体" w:eastAsia="宋体" w:cs="宋体"/>
                <w:sz w:val="28"/>
                <w:szCs w:val="28"/>
              </w:rPr>
              <w:t>电子邮件：</w:t>
            </w:r>
          </w:p>
        </w:tc>
        <w:tc>
          <w:tcPr>
            <w:tcW w:w="5936" w:type="dxa"/>
          </w:tcPr>
          <w:p>
            <w:pPr>
              <w:rPr>
                <w:rFonts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b/>
                <w:bCs/>
                <w:sz w:val="28"/>
                <w:szCs w:val="28"/>
                <w:u w:val="single"/>
              </w:rPr>
              <w:t xml:space="preserve">  </w:t>
            </w:r>
            <w:r>
              <w:rPr>
                <w:rFonts w:hint="eastAsia" w:ascii="宋体" w:hAnsi="宋体" w:eastAsia="宋体" w:cs="宋体"/>
                <w:sz w:val="24"/>
                <w:szCs w:val="24"/>
                <w:u w:val="single"/>
              </w:rPr>
              <w:t xml:space="preserve">charming.w@163.com   </w:t>
            </w:r>
            <w:r>
              <w:rPr>
                <w:rFonts w:hint="eastAsia" w:ascii="宋体" w:hAnsi="宋体" w:eastAsia="宋体" w:cs="宋体"/>
                <w:sz w:val="28"/>
                <w:szCs w:val="28"/>
                <w:u w:val="single"/>
              </w:rPr>
              <w:t xml:space="preserve">     </w:t>
            </w:r>
            <w:r>
              <w:rPr>
                <w:rFonts w:hint="eastAsia" w:ascii="宋体" w:hAnsi="宋体" w:eastAsia="宋体" w:cs="宋体"/>
                <w:b/>
                <w:bCs/>
                <w:sz w:val="28"/>
                <w:szCs w:val="28"/>
                <w:u w:val="single"/>
              </w:rPr>
              <w:t xml:space="preserve">    </w:t>
            </w:r>
            <w:r>
              <w:rPr>
                <w:rFonts w:hint="eastAsia" w:ascii="宋体" w:hAnsi="宋体" w:eastAsia="宋体" w:cs="宋体"/>
                <w:sz w:val="28"/>
                <w:szCs w:val="28"/>
                <w:u w:val="single"/>
              </w:rPr>
              <w:t xml:space="preserve">          </w:t>
            </w:r>
          </w:p>
        </w:tc>
      </w:tr>
      <w:tr>
        <w:tblPrEx>
          <w:tblCellMar>
            <w:top w:w="0" w:type="dxa"/>
            <w:left w:w="108" w:type="dxa"/>
            <w:bottom w:w="0" w:type="dxa"/>
            <w:right w:w="108" w:type="dxa"/>
          </w:tblCellMar>
        </w:tblPrEx>
        <w:trPr>
          <w:jc w:val="center"/>
        </w:trPr>
        <w:tc>
          <w:tcPr>
            <w:tcW w:w="2352" w:type="dxa"/>
          </w:tcPr>
          <w:p>
            <w:pPr>
              <w:spacing w:before="156" w:beforeLines="50" w:line="480" w:lineRule="auto"/>
              <w:rPr>
                <w:rFonts w:ascii="宋体" w:hAnsi="宋体" w:eastAsia="宋体" w:cs="宋体"/>
                <w:sz w:val="28"/>
                <w:szCs w:val="28"/>
              </w:rPr>
            </w:pPr>
            <w:r>
              <w:rPr>
                <w:rFonts w:hint="eastAsia" w:ascii="宋体" w:hAnsi="宋体" w:eastAsia="宋体" w:cs="宋体"/>
                <w:sz w:val="28"/>
                <w:szCs w:val="28"/>
              </w:rPr>
              <w:t>提交日期：</w:t>
            </w:r>
          </w:p>
        </w:tc>
        <w:tc>
          <w:tcPr>
            <w:tcW w:w="5936" w:type="dxa"/>
          </w:tcPr>
          <w:p>
            <w:pPr>
              <w:spacing w:before="156" w:beforeLines="50" w:line="480" w:lineRule="auto"/>
              <w:rPr>
                <w:rFonts w:ascii="宋体" w:hAnsi="宋体" w:eastAsia="宋体" w:cs="宋体"/>
                <w:sz w:val="28"/>
                <w:szCs w:val="28"/>
                <w:u w:val="single"/>
              </w:rPr>
            </w:pPr>
            <w:r>
              <w:rPr>
                <w:rFonts w:hint="eastAsia" w:ascii="宋体" w:hAnsi="宋体" w:eastAsia="宋体" w:cs="宋体"/>
                <w:sz w:val="28"/>
                <w:szCs w:val="28"/>
                <w:u w:val="single"/>
              </w:rPr>
              <w:t xml:space="preserve">        2020年5月26日                      </w:t>
            </w:r>
          </w:p>
        </w:tc>
      </w:tr>
      <w:tr>
        <w:tblPrEx>
          <w:tblCellMar>
            <w:top w:w="0" w:type="dxa"/>
            <w:left w:w="108" w:type="dxa"/>
            <w:bottom w:w="0" w:type="dxa"/>
            <w:right w:w="108" w:type="dxa"/>
          </w:tblCellMar>
        </w:tblPrEx>
        <w:trPr>
          <w:jc w:val="center"/>
        </w:trPr>
        <w:tc>
          <w:tcPr>
            <w:tcW w:w="2352" w:type="dxa"/>
          </w:tcPr>
          <w:p>
            <w:pPr>
              <w:spacing w:before="156" w:beforeLines="50" w:line="480" w:lineRule="auto"/>
              <w:rPr>
                <w:rFonts w:ascii="宋体" w:hAnsi="宋体" w:eastAsia="宋体" w:cs="宋体"/>
                <w:sz w:val="28"/>
                <w:szCs w:val="28"/>
              </w:rPr>
            </w:pPr>
          </w:p>
        </w:tc>
        <w:tc>
          <w:tcPr>
            <w:tcW w:w="5936" w:type="dxa"/>
          </w:tcPr>
          <w:p>
            <w:pPr>
              <w:spacing w:before="156" w:beforeLines="50" w:line="480" w:lineRule="auto"/>
              <w:rPr>
                <w:rFonts w:ascii="宋体" w:hAnsi="宋体" w:eastAsia="宋体" w:cs="宋体"/>
                <w:sz w:val="28"/>
                <w:szCs w:val="28"/>
                <w:u w:val="single"/>
              </w:rPr>
            </w:pPr>
          </w:p>
        </w:tc>
      </w:tr>
    </w:tbl>
    <w:p>
      <w:pPr>
        <w:autoSpaceDE w:val="0"/>
        <w:autoSpaceDN w:val="0"/>
        <w:adjustRightInd w:val="0"/>
        <w:spacing w:line="360" w:lineRule="auto"/>
        <w:ind w:firstLine="560" w:firstLineChars="200"/>
        <w:jc w:val="center"/>
        <w:rPr>
          <w:rFonts w:ascii="宋体" w:hAnsi="宋体" w:eastAsia="宋体" w:cs="宋体"/>
          <w:b/>
          <w:bCs/>
          <w:kern w:val="0"/>
          <w:sz w:val="28"/>
          <w:szCs w:val="28"/>
        </w:rPr>
        <w:sectPr>
          <w:footerReference r:id="rId3" w:type="default"/>
          <w:pgSz w:w="11906" w:h="16838"/>
          <w:pgMar w:top="1440" w:right="1800" w:bottom="1440" w:left="1800" w:header="851" w:footer="992" w:gutter="0"/>
          <w:pgNumType w:start="1"/>
          <w:cols w:space="425" w:num="1"/>
          <w:docGrid w:type="linesAndChars" w:linePitch="312" w:charSpace="0"/>
        </w:sectPr>
      </w:pPr>
    </w:p>
    <w:p>
      <w:pPr>
        <w:autoSpaceDE w:val="0"/>
        <w:autoSpaceDN w:val="0"/>
        <w:adjustRightInd w:val="0"/>
        <w:spacing w:line="360" w:lineRule="auto"/>
        <w:ind w:firstLine="420" w:firstLineChars="200"/>
        <w:jc w:val="center"/>
        <w:rPr>
          <w:rFonts w:ascii="宋体" w:hAnsi="宋体" w:eastAsia="宋体" w:cs="宋体"/>
          <w:b/>
          <w:bCs/>
          <w:kern w:val="0"/>
          <w:sz w:val="28"/>
          <w:szCs w:val="28"/>
        </w:rPr>
      </w:pPr>
      <w:r>
        <w:drawing>
          <wp:inline distT="0" distB="0" distL="114300" distR="114300">
            <wp:extent cx="5692775" cy="7553960"/>
            <wp:effectExtent l="0" t="0" r="9525" b="254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7"/>
                    <a:stretch>
                      <a:fillRect/>
                    </a:stretch>
                  </pic:blipFill>
                  <pic:spPr>
                    <a:xfrm>
                      <a:off x="0" y="0"/>
                      <a:ext cx="5692775" cy="7553960"/>
                    </a:xfrm>
                    <a:prstGeom prst="rect">
                      <a:avLst/>
                    </a:prstGeom>
                    <a:noFill/>
                    <a:ln>
                      <a:noFill/>
                    </a:ln>
                  </pic:spPr>
                </pic:pic>
              </a:graphicData>
            </a:graphic>
          </wp:inline>
        </w:drawing>
      </w:r>
    </w:p>
    <w:p>
      <w:pPr>
        <w:autoSpaceDE w:val="0"/>
        <w:autoSpaceDN w:val="0"/>
        <w:adjustRightInd w:val="0"/>
        <w:spacing w:line="360" w:lineRule="auto"/>
        <w:ind w:firstLine="560" w:firstLineChars="200"/>
        <w:jc w:val="center"/>
        <w:rPr>
          <w:rFonts w:ascii="宋体" w:hAnsi="宋体" w:eastAsia="宋体" w:cs="宋体"/>
          <w:b/>
          <w:bCs/>
          <w:kern w:val="0"/>
          <w:sz w:val="28"/>
          <w:szCs w:val="28"/>
        </w:rPr>
        <w:sectPr>
          <w:pgSz w:w="11906" w:h="16838"/>
          <w:pgMar w:top="1440" w:right="1800" w:bottom="1440" w:left="1134" w:header="851" w:footer="992" w:gutter="0"/>
          <w:pgNumType w:start="1"/>
          <w:cols w:space="425" w:num="1"/>
          <w:docGrid w:type="linesAndChars" w:linePitch="312" w:charSpace="0"/>
        </w:sectPr>
      </w:pPr>
      <w:bookmarkStart w:id="139" w:name="_GoBack"/>
      <w:bookmarkEnd w:id="139"/>
    </w:p>
    <w:sdt>
      <w:sdtPr>
        <w:rPr>
          <w:rFonts w:ascii="宋体" w:hAnsi="宋体" w:eastAsia="宋体"/>
        </w:rPr>
        <w:id w:val="147464516"/>
        <w15:color w:val="DBDBDB"/>
        <w:docPartObj>
          <w:docPartGallery w:val="Table of Contents"/>
          <w:docPartUnique/>
        </w:docPartObj>
      </w:sdtPr>
      <w:sdtEndPr>
        <w:rPr>
          <w:rFonts w:asciiTheme="minorHAnsi" w:hAnsiTheme="minorHAnsi" w:eastAsiaTheme="minorEastAsia"/>
        </w:rPr>
      </w:sdtEndPr>
      <w:sdtContent>
        <w:p>
          <w:pPr>
            <w:jc w:val="center"/>
            <w:rPr>
              <w:rFonts w:ascii="宋体" w:hAnsi="宋体" w:eastAsia="宋体"/>
            </w:rPr>
          </w:pPr>
        </w:p>
        <w:p>
          <w:pPr>
            <w:jc w:val="center"/>
            <w:rPr>
              <w:rFonts w:ascii="宋体" w:hAnsi="宋体" w:eastAsia="宋体"/>
            </w:rPr>
          </w:pPr>
        </w:p>
        <w:p>
          <w:pPr>
            <w:jc w:val="center"/>
            <w:rPr>
              <w:b/>
              <w:sz w:val="24"/>
              <w:szCs w:val="28"/>
            </w:rPr>
          </w:pPr>
          <w:r>
            <w:rPr>
              <w:rFonts w:ascii="宋体" w:hAnsi="宋体" w:eastAsia="宋体"/>
              <w:b/>
              <w:sz w:val="24"/>
              <w:szCs w:val="28"/>
            </w:rPr>
            <w:t>目录</w:t>
          </w:r>
        </w:p>
        <w:p>
          <w:pPr>
            <w:pStyle w:val="7"/>
            <w:tabs>
              <w:tab w:val="right" w:leader="dot" w:pos="8306"/>
            </w:tabs>
          </w:pPr>
          <w:r>
            <w:fldChar w:fldCharType="begin"/>
          </w:r>
          <w:r>
            <w:instrText xml:space="preserve">TOC \o "1-3" \h \u </w:instrText>
          </w:r>
          <w:r>
            <w:fldChar w:fldCharType="separate"/>
          </w:r>
        </w:p>
        <w:p>
          <w:pPr>
            <w:pStyle w:val="7"/>
            <w:tabs>
              <w:tab w:val="right" w:leader="dot" w:pos="8306"/>
            </w:tabs>
          </w:pPr>
          <w:r>
            <w:fldChar w:fldCharType="begin"/>
          </w:r>
          <w:r>
            <w:instrText xml:space="preserve"> HYPERLINK \l _Toc16121 </w:instrText>
          </w:r>
          <w:r>
            <w:fldChar w:fldCharType="separate"/>
          </w:r>
          <w:r>
            <w:rPr>
              <w:rFonts w:hint="eastAsia" w:ascii="宋体" w:hAnsi="宋体" w:eastAsia="宋体" w:cs="宋体"/>
              <w:bCs/>
              <w:kern w:val="0"/>
              <w:szCs w:val="24"/>
            </w:rPr>
            <w:t>1研究背景、目的和意义</w:t>
          </w:r>
          <w:r>
            <w:tab/>
          </w:r>
          <w:r>
            <w:fldChar w:fldCharType="begin"/>
          </w:r>
          <w:r>
            <w:instrText xml:space="preserve"> PAGEREF _Toc16121 </w:instrText>
          </w:r>
          <w:r>
            <w:fldChar w:fldCharType="separate"/>
          </w:r>
          <w:r>
            <w:t>1</w:t>
          </w:r>
          <w:r>
            <w:fldChar w:fldCharType="end"/>
          </w:r>
          <w:r>
            <w:fldChar w:fldCharType="end"/>
          </w:r>
        </w:p>
        <w:p>
          <w:pPr>
            <w:pStyle w:val="8"/>
            <w:tabs>
              <w:tab w:val="right" w:leader="dot" w:pos="8306"/>
            </w:tabs>
          </w:pPr>
          <w:r>
            <w:fldChar w:fldCharType="begin"/>
          </w:r>
          <w:r>
            <w:instrText xml:space="preserve"> HYPERLINK \l _Toc30162 </w:instrText>
          </w:r>
          <w:r>
            <w:fldChar w:fldCharType="separate"/>
          </w:r>
          <w:r>
            <w:rPr>
              <w:rFonts w:hint="eastAsia" w:ascii="宋体" w:hAnsi="宋体" w:eastAsia="宋体" w:cs="宋体"/>
              <w:bCs/>
              <w:kern w:val="0"/>
              <w:szCs w:val="24"/>
            </w:rPr>
            <w:t>1.1 研究背景</w:t>
          </w:r>
          <w:r>
            <w:tab/>
          </w:r>
          <w:r>
            <w:fldChar w:fldCharType="begin"/>
          </w:r>
          <w:r>
            <w:instrText xml:space="preserve"> PAGEREF _Toc30162 </w:instrText>
          </w:r>
          <w:r>
            <w:fldChar w:fldCharType="separate"/>
          </w:r>
          <w:r>
            <w:t>1</w:t>
          </w:r>
          <w:r>
            <w:fldChar w:fldCharType="end"/>
          </w:r>
          <w:r>
            <w:fldChar w:fldCharType="end"/>
          </w:r>
        </w:p>
        <w:p>
          <w:pPr>
            <w:pStyle w:val="8"/>
            <w:tabs>
              <w:tab w:val="right" w:leader="dot" w:pos="8306"/>
            </w:tabs>
          </w:pPr>
          <w:r>
            <w:fldChar w:fldCharType="begin"/>
          </w:r>
          <w:r>
            <w:instrText xml:space="preserve"> HYPERLINK \l _Toc17407 </w:instrText>
          </w:r>
          <w:r>
            <w:fldChar w:fldCharType="separate"/>
          </w:r>
          <w:r>
            <w:rPr>
              <w:rFonts w:hint="eastAsia" w:ascii="宋体" w:hAnsi="宋体" w:eastAsia="宋体" w:cs="宋体"/>
              <w:bCs/>
              <w:kern w:val="0"/>
              <w:szCs w:val="24"/>
            </w:rPr>
            <w:t>1.2 研究目的和意义</w:t>
          </w:r>
          <w:r>
            <w:tab/>
          </w:r>
          <w:r>
            <w:fldChar w:fldCharType="begin"/>
          </w:r>
          <w:r>
            <w:instrText xml:space="preserve"> PAGEREF _Toc17407 </w:instrText>
          </w:r>
          <w:r>
            <w:fldChar w:fldCharType="separate"/>
          </w:r>
          <w:r>
            <w:t>1</w:t>
          </w:r>
          <w:r>
            <w:fldChar w:fldCharType="end"/>
          </w:r>
          <w:r>
            <w:fldChar w:fldCharType="end"/>
          </w:r>
        </w:p>
        <w:p>
          <w:pPr>
            <w:pStyle w:val="7"/>
            <w:tabs>
              <w:tab w:val="right" w:leader="dot" w:pos="8306"/>
            </w:tabs>
          </w:pPr>
          <w:r>
            <w:fldChar w:fldCharType="begin"/>
          </w:r>
          <w:r>
            <w:instrText xml:space="preserve"> HYPERLINK \l _Toc28927 </w:instrText>
          </w:r>
          <w:r>
            <w:fldChar w:fldCharType="separate"/>
          </w:r>
          <w:r>
            <w:rPr>
              <w:rFonts w:hint="eastAsia" w:ascii="宋体" w:hAnsi="宋体" w:eastAsia="宋体" w:cs="宋体"/>
              <w:bCs/>
              <w:kern w:val="0"/>
              <w:szCs w:val="24"/>
            </w:rPr>
            <w:t>2 研究思路、方法及内容</w:t>
          </w:r>
          <w:r>
            <w:tab/>
          </w:r>
          <w:r>
            <w:fldChar w:fldCharType="begin"/>
          </w:r>
          <w:r>
            <w:instrText xml:space="preserve"> PAGEREF _Toc28927 </w:instrText>
          </w:r>
          <w:r>
            <w:fldChar w:fldCharType="separate"/>
          </w:r>
          <w:r>
            <w:t>2</w:t>
          </w:r>
          <w:r>
            <w:fldChar w:fldCharType="end"/>
          </w:r>
          <w:r>
            <w:fldChar w:fldCharType="end"/>
          </w:r>
        </w:p>
        <w:p>
          <w:pPr>
            <w:pStyle w:val="8"/>
            <w:tabs>
              <w:tab w:val="right" w:leader="dot" w:pos="8306"/>
            </w:tabs>
          </w:pPr>
          <w:r>
            <w:fldChar w:fldCharType="begin"/>
          </w:r>
          <w:r>
            <w:instrText xml:space="preserve"> HYPERLINK \l _Toc5207 </w:instrText>
          </w:r>
          <w:r>
            <w:fldChar w:fldCharType="separate"/>
          </w:r>
          <w:r>
            <w:rPr>
              <w:rFonts w:hint="eastAsia" w:ascii="宋体" w:hAnsi="宋体" w:eastAsia="宋体" w:cs="宋体"/>
              <w:bCs/>
              <w:kern w:val="0"/>
              <w:szCs w:val="24"/>
            </w:rPr>
            <w:t>2.1 研究思路</w:t>
          </w:r>
          <w:r>
            <w:tab/>
          </w:r>
          <w:r>
            <w:fldChar w:fldCharType="begin"/>
          </w:r>
          <w:r>
            <w:instrText xml:space="preserve"> PAGEREF _Toc5207 </w:instrText>
          </w:r>
          <w:r>
            <w:fldChar w:fldCharType="separate"/>
          </w:r>
          <w:r>
            <w:t>2</w:t>
          </w:r>
          <w:r>
            <w:fldChar w:fldCharType="end"/>
          </w:r>
          <w:r>
            <w:fldChar w:fldCharType="end"/>
          </w:r>
        </w:p>
        <w:p>
          <w:pPr>
            <w:pStyle w:val="3"/>
            <w:tabs>
              <w:tab w:val="right" w:leader="dot" w:pos="8306"/>
            </w:tabs>
          </w:pPr>
          <w:r>
            <w:fldChar w:fldCharType="begin"/>
          </w:r>
          <w:r>
            <w:instrText xml:space="preserve"> HYPERLINK \l _Toc6261 </w:instrText>
          </w:r>
          <w:r>
            <w:fldChar w:fldCharType="separate"/>
          </w:r>
          <w:r>
            <w:rPr>
              <w:rFonts w:hint="eastAsia" w:ascii="宋体" w:hAnsi="宋体" w:eastAsia="宋体" w:cs="宋体"/>
              <w:bCs/>
              <w:kern w:val="0"/>
              <w:szCs w:val="24"/>
            </w:rPr>
            <w:t>2.1.1 图书馆业务布局重组动因</w:t>
          </w:r>
          <w:r>
            <w:tab/>
          </w:r>
          <w:r>
            <w:fldChar w:fldCharType="begin"/>
          </w:r>
          <w:r>
            <w:instrText xml:space="preserve"> PAGEREF _Toc6261 </w:instrText>
          </w:r>
          <w:r>
            <w:fldChar w:fldCharType="separate"/>
          </w:r>
          <w:r>
            <w:t>2</w:t>
          </w:r>
          <w:r>
            <w:fldChar w:fldCharType="end"/>
          </w:r>
          <w:r>
            <w:fldChar w:fldCharType="end"/>
          </w:r>
        </w:p>
        <w:p>
          <w:pPr>
            <w:pStyle w:val="3"/>
            <w:tabs>
              <w:tab w:val="right" w:leader="dot" w:pos="8306"/>
            </w:tabs>
          </w:pPr>
          <w:r>
            <w:fldChar w:fldCharType="begin"/>
          </w:r>
          <w:r>
            <w:instrText xml:space="preserve"> HYPERLINK \l _Toc14880 </w:instrText>
          </w:r>
          <w:r>
            <w:fldChar w:fldCharType="separate"/>
          </w:r>
          <w:r>
            <w:rPr>
              <w:rFonts w:hint="eastAsia" w:ascii="宋体" w:hAnsi="宋体" w:eastAsia="宋体" w:cs="宋体"/>
              <w:bCs/>
              <w:kern w:val="0"/>
              <w:szCs w:val="24"/>
            </w:rPr>
            <w:t>2.1.2 业务布局重组研究理论依据</w:t>
          </w:r>
          <w:r>
            <w:tab/>
          </w:r>
          <w:r>
            <w:fldChar w:fldCharType="begin"/>
          </w:r>
          <w:r>
            <w:instrText xml:space="preserve"> PAGEREF _Toc14880 </w:instrText>
          </w:r>
          <w:r>
            <w:fldChar w:fldCharType="separate"/>
          </w:r>
          <w:r>
            <w:t>4</w:t>
          </w:r>
          <w:r>
            <w:fldChar w:fldCharType="end"/>
          </w:r>
          <w:r>
            <w:fldChar w:fldCharType="end"/>
          </w:r>
        </w:p>
        <w:p>
          <w:pPr>
            <w:pStyle w:val="3"/>
            <w:tabs>
              <w:tab w:val="right" w:leader="dot" w:pos="8306"/>
            </w:tabs>
          </w:pPr>
          <w:r>
            <w:fldChar w:fldCharType="begin"/>
          </w:r>
          <w:r>
            <w:instrText xml:space="preserve"> HYPERLINK \l _Toc8635 </w:instrText>
          </w:r>
          <w:r>
            <w:fldChar w:fldCharType="separate"/>
          </w:r>
          <w:r>
            <w:rPr>
              <w:rFonts w:hint="eastAsia" w:ascii="宋体" w:hAnsi="宋体" w:eastAsia="宋体" w:cs="宋体"/>
              <w:bCs/>
              <w:kern w:val="0"/>
              <w:szCs w:val="24"/>
            </w:rPr>
            <w:t>2.1.3 业务流程重组类型及趋势</w:t>
          </w:r>
          <w:r>
            <w:tab/>
          </w:r>
          <w:r>
            <w:fldChar w:fldCharType="begin"/>
          </w:r>
          <w:r>
            <w:instrText xml:space="preserve"> PAGEREF _Toc8635 </w:instrText>
          </w:r>
          <w:r>
            <w:fldChar w:fldCharType="separate"/>
          </w:r>
          <w:r>
            <w:t>5</w:t>
          </w:r>
          <w:r>
            <w:fldChar w:fldCharType="end"/>
          </w:r>
          <w:r>
            <w:fldChar w:fldCharType="end"/>
          </w:r>
        </w:p>
        <w:p>
          <w:pPr>
            <w:pStyle w:val="3"/>
            <w:tabs>
              <w:tab w:val="right" w:leader="dot" w:pos="8306"/>
            </w:tabs>
          </w:pPr>
          <w:r>
            <w:fldChar w:fldCharType="begin"/>
          </w:r>
          <w:r>
            <w:instrText xml:space="preserve"> HYPERLINK \l _Toc16640 </w:instrText>
          </w:r>
          <w:r>
            <w:fldChar w:fldCharType="separate"/>
          </w:r>
          <w:r>
            <w:rPr>
              <w:rFonts w:hint="eastAsia" w:ascii="宋体" w:hAnsi="宋体" w:eastAsia="宋体" w:cs="宋体"/>
              <w:bCs/>
              <w:kern w:val="0"/>
              <w:szCs w:val="24"/>
            </w:rPr>
            <w:t>2.1.4 本研究相关概念及外延界定</w:t>
          </w:r>
          <w:r>
            <w:tab/>
          </w:r>
          <w:r>
            <w:fldChar w:fldCharType="begin"/>
          </w:r>
          <w:r>
            <w:instrText xml:space="preserve"> PAGEREF _Toc16640 </w:instrText>
          </w:r>
          <w:r>
            <w:fldChar w:fldCharType="separate"/>
          </w:r>
          <w:r>
            <w:t>6</w:t>
          </w:r>
          <w:r>
            <w:fldChar w:fldCharType="end"/>
          </w:r>
          <w:r>
            <w:fldChar w:fldCharType="end"/>
          </w:r>
        </w:p>
        <w:p>
          <w:pPr>
            <w:pStyle w:val="8"/>
            <w:tabs>
              <w:tab w:val="right" w:leader="dot" w:pos="8306"/>
            </w:tabs>
          </w:pPr>
          <w:r>
            <w:fldChar w:fldCharType="begin"/>
          </w:r>
          <w:r>
            <w:instrText xml:space="preserve"> HYPERLINK \l _Toc27939 </w:instrText>
          </w:r>
          <w:r>
            <w:fldChar w:fldCharType="separate"/>
          </w:r>
          <w:r>
            <w:rPr>
              <w:rFonts w:hint="eastAsia" w:ascii="宋体" w:hAnsi="宋体" w:eastAsia="宋体" w:cs="宋体"/>
              <w:bCs/>
              <w:kern w:val="0"/>
              <w:szCs w:val="24"/>
            </w:rPr>
            <w:t>2.2 研究方法</w:t>
          </w:r>
          <w:r>
            <w:tab/>
          </w:r>
          <w:r>
            <w:fldChar w:fldCharType="begin"/>
          </w:r>
          <w:r>
            <w:instrText xml:space="preserve"> PAGEREF _Toc27939 </w:instrText>
          </w:r>
          <w:r>
            <w:fldChar w:fldCharType="separate"/>
          </w:r>
          <w:r>
            <w:t>8</w:t>
          </w:r>
          <w:r>
            <w:fldChar w:fldCharType="end"/>
          </w:r>
          <w:r>
            <w:fldChar w:fldCharType="end"/>
          </w:r>
        </w:p>
        <w:p>
          <w:pPr>
            <w:pStyle w:val="8"/>
            <w:tabs>
              <w:tab w:val="right" w:leader="dot" w:pos="8306"/>
            </w:tabs>
          </w:pPr>
          <w:r>
            <w:fldChar w:fldCharType="begin"/>
          </w:r>
          <w:r>
            <w:instrText xml:space="preserve"> HYPERLINK \l _Toc26200 </w:instrText>
          </w:r>
          <w:r>
            <w:fldChar w:fldCharType="separate"/>
          </w:r>
          <w:r>
            <w:rPr>
              <w:rFonts w:hint="eastAsia" w:ascii="宋体" w:hAnsi="宋体" w:eastAsia="宋体" w:cs="宋体"/>
              <w:bCs/>
              <w:szCs w:val="24"/>
            </w:rPr>
            <w:t>2.3 研究内容</w:t>
          </w:r>
          <w:r>
            <w:tab/>
          </w:r>
          <w:r>
            <w:fldChar w:fldCharType="begin"/>
          </w:r>
          <w:r>
            <w:instrText xml:space="preserve"> PAGEREF _Toc26200 </w:instrText>
          </w:r>
          <w:r>
            <w:fldChar w:fldCharType="separate"/>
          </w:r>
          <w:r>
            <w:t>8</w:t>
          </w:r>
          <w:r>
            <w:fldChar w:fldCharType="end"/>
          </w:r>
          <w:r>
            <w:fldChar w:fldCharType="end"/>
          </w:r>
        </w:p>
        <w:p>
          <w:pPr>
            <w:pStyle w:val="3"/>
            <w:tabs>
              <w:tab w:val="right" w:leader="dot" w:pos="8306"/>
            </w:tabs>
          </w:pPr>
          <w:r>
            <w:fldChar w:fldCharType="begin"/>
          </w:r>
          <w:r>
            <w:instrText xml:space="preserve"> HYPERLINK \l _Toc28555 </w:instrText>
          </w:r>
          <w:r>
            <w:fldChar w:fldCharType="separate"/>
          </w:r>
          <w:r>
            <w:rPr>
              <w:rFonts w:hint="eastAsia" w:ascii="宋体" w:hAnsi="宋体" w:eastAsia="宋体" w:cs="宋体"/>
              <w:bCs/>
              <w:szCs w:val="24"/>
            </w:rPr>
            <w:t xml:space="preserve">2.3.1 </w:t>
          </w:r>
          <w:r>
            <w:rPr>
              <w:rFonts w:hint="eastAsia" w:ascii="宋体" w:hAnsi="宋体" w:eastAsia="宋体" w:cs="宋体"/>
              <w:bCs/>
              <w:kern w:val="0"/>
              <w:szCs w:val="24"/>
            </w:rPr>
            <w:t>图书馆业务布局重组内涵</w:t>
          </w:r>
          <w:r>
            <w:tab/>
          </w:r>
          <w:r>
            <w:fldChar w:fldCharType="begin"/>
          </w:r>
          <w:r>
            <w:instrText xml:space="preserve"> PAGEREF _Toc28555 </w:instrText>
          </w:r>
          <w:r>
            <w:fldChar w:fldCharType="separate"/>
          </w:r>
          <w:r>
            <w:t>8</w:t>
          </w:r>
          <w:r>
            <w:fldChar w:fldCharType="end"/>
          </w:r>
          <w:r>
            <w:fldChar w:fldCharType="end"/>
          </w:r>
        </w:p>
        <w:p>
          <w:pPr>
            <w:pStyle w:val="3"/>
            <w:tabs>
              <w:tab w:val="right" w:leader="dot" w:pos="8306"/>
            </w:tabs>
          </w:pPr>
          <w:r>
            <w:fldChar w:fldCharType="begin"/>
          </w:r>
          <w:r>
            <w:instrText xml:space="preserve"> HYPERLINK \l _Toc27759 </w:instrText>
          </w:r>
          <w:r>
            <w:fldChar w:fldCharType="separate"/>
          </w:r>
          <w:r>
            <w:rPr>
              <w:rFonts w:hint="eastAsia" w:ascii="宋体" w:hAnsi="宋体" w:eastAsia="宋体" w:cs="宋体"/>
              <w:bCs/>
              <w:kern w:val="0"/>
              <w:szCs w:val="24"/>
            </w:rPr>
            <w:t>2.3.2 图书馆</w:t>
          </w:r>
          <w:r>
            <w:rPr>
              <w:rFonts w:hint="eastAsia" w:ascii="宋体" w:hAnsi="宋体" w:eastAsia="宋体" w:cs="宋体"/>
              <w:bCs/>
              <w:szCs w:val="24"/>
            </w:rPr>
            <w:t>业务布局重组原则</w:t>
          </w:r>
          <w:r>
            <w:tab/>
          </w:r>
          <w:r>
            <w:fldChar w:fldCharType="begin"/>
          </w:r>
          <w:r>
            <w:instrText xml:space="preserve"> PAGEREF _Toc27759 </w:instrText>
          </w:r>
          <w:r>
            <w:fldChar w:fldCharType="separate"/>
          </w:r>
          <w:r>
            <w:t>14</w:t>
          </w:r>
          <w:r>
            <w:fldChar w:fldCharType="end"/>
          </w:r>
          <w:r>
            <w:fldChar w:fldCharType="end"/>
          </w:r>
        </w:p>
        <w:p>
          <w:pPr>
            <w:pStyle w:val="3"/>
            <w:tabs>
              <w:tab w:val="right" w:leader="dot" w:pos="8306"/>
            </w:tabs>
          </w:pPr>
          <w:r>
            <w:fldChar w:fldCharType="begin"/>
          </w:r>
          <w:r>
            <w:instrText xml:space="preserve"> HYPERLINK \l _Toc1916 </w:instrText>
          </w:r>
          <w:r>
            <w:fldChar w:fldCharType="separate"/>
          </w:r>
          <w:r>
            <w:rPr>
              <w:rFonts w:hint="eastAsia" w:ascii="宋体" w:hAnsi="宋体" w:eastAsia="宋体" w:cs="宋体"/>
              <w:bCs/>
              <w:kern w:val="0"/>
              <w:szCs w:val="24"/>
            </w:rPr>
            <w:t>2.3.3 我国部分高校图书馆业务布局调查</w:t>
          </w:r>
          <w:r>
            <w:tab/>
          </w:r>
          <w:r>
            <w:fldChar w:fldCharType="begin"/>
          </w:r>
          <w:r>
            <w:instrText xml:space="preserve"> PAGEREF _Toc1916 </w:instrText>
          </w:r>
          <w:r>
            <w:fldChar w:fldCharType="separate"/>
          </w:r>
          <w:r>
            <w:t>15</w:t>
          </w:r>
          <w:r>
            <w:fldChar w:fldCharType="end"/>
          </w:r>
          <w:r>
            <w:fldChar w:fldCharType="end"/>
          </w:r>
        </w:p>
        <w:p>
          <w:pPr>
            <w:pStyle w:val="3"/>
            <w:tabs>
              <w:tab w:val="right" w:leader="dot" w:pos="8306"/>
            </w:tabs>
          </w:pPr>
          <w:r>
            <w:fldChar w:fldCharType="begin"/>
          </w:r>
          <w:r>
            <w:instrText xml:space="preserve"> HYPERLINK \l _Toc12187 </w:instrText>
          </w:r>
          <w:r>
            <w:fldChar w:fldCharType="separate"/>
          </w:r>
          <w:r>
            <w:rPr>
              <w:rFonts w:hint="eastAsia" w:ascii="宋体" w:hAnsi="宋体" w:eastAsia="宋体" w:cs="宋体"/>
              <w:bCs/>
              <w:kern w:val="0"/>
              <w:szCs w:val="24"/>
            </w:rPr>
            <w:t>2.3.4 高校图书馆“三台”式组织结构模式</w:t>
          </w:r>
          <w:r>
            <w:rPr>
              <w:rFonts w:hint="eastAsia" w:ascii="宋体" w:hAnsi="宋体" w:eastAsia="宋体" w:cs="宋体"/>
              <w:bCs/>
              <w:kern w:val="0"/>
              <w:szCs w:val="24"/>
              <w:lang w:val="en-US" w:eastAsia="zh-CN"/>
            </w:rPr>
            <w:t>架构</w:t>
          </w:r>
          <w:r>
            <w:tab/>
          </w:r>
          <w:r>
            <w:fldChar w:fldCharType="begin"/>
          </w:r>
          <w:r>
            <w:instrText xml:space="preserve"> PAGEREF _Toc12187 </w:instrText>
          </w:r>
          <w:r>
            <w:fldChar w:fldCharType="separate"/>
          </w:r>
          <w:r>
            <w:t>35</w:t>
          </w:r>
          <w:r>
            <w:fldChar w:fldCharType="end"/>
          </w:r>
          <w:r>
            <w:fldChar w:fldCharType="end"/>
          </w:r>
        </w:p>
        <w:p>
          <w:pPr>
            <w:pStyle w:val="3"/>
            <w:tabs>
              <w:tab w:val="right" w:leader="dot" w:pos="8306"/>
            </w:tabs>
          </w:pPr>
          <w:r>
            <w:fldChar w:fldCharType="begin"/>
          </w:r>
          <w:r>
            <w:instrText xml:space="preserve"> HYPERLINK \l _Toc30 </w:instrText>
          </w:r>
          <w:r>
            <w:fldChar w:fldCharType="separate"/>
          </w:r>
          <w:r>
            <w:rPr>
              <w:rFonts w:hint="eastAsia" w:ascii="宋体" w:hAnsi="宋体" w:eastAsia="宋体" w:cs="宋体"/>
              <w:bCs/>
              <w:kern w:val="0"/>
              <w:szCs w:val="24"/>
            </w:rPr>
            <w:t>2.3.5 图书馆新型服务能力体系构建</w:t>
          </w:r>
          <w:r>
            <w:tab/>
          </w:r>
          <w:r>
            <w:fldChar w:fldCharType="begin"/>
          </w:r>
          <w:r>
            <w:instrText xml:space="preserve"> PAGEREF _Toc30 </w:instrText>
          </w:r>
          <w:r>
            <w:fldChar w:fldCharType="separate"/>
          </w:r>
          <w:r>
            <w:t>40</w:t>
          </w:r>
          <w:r>
            <w:fldChar w:fldCharType="end"/>
          </w:r>
          <w:r>
            <w:fldChar w:fldCharType="end"/>
          </w:r>
        </w:p>
        <w:p>
          <w:pPr>
            <w:pStyle w:val="3"/>
            <w:tabs>
              <w:tab w:val="right" w:leader="dot" w:pos="8306"/>
            </w:tabs>
          </w:pPr>
          <w:r>
            <w:fldChar w:fldCharType="begin"/>
          </w:r>
          <w:r>
            <w:instrText xml:space="preserve"> HYPERLINK \l _Toc21989 </w:instrText>
          </w:r>
          <w:r>
            <w:fldChar w:fldCharType="separate"/>
          </w:r>
          <w:r>
            <w:rPr>
              <w:rFonts w:hint="eastAsia" w:ascii="宋体" w:hAnsi="宋体" w:eastAsia="宋体" w:cs="宋体"/>
              <w:bCs/>
              <w:kern w:val="0"/>
              <w:szCs w:val="24"/>
            </w:rPr>
            <w:t>2.3.6实践效果</w:t>
          </w:r>
          <w:r>
            <w:tab/>
          </w:r>
          <w:r>
            <w:fldChar w:fldCharType="begin"/>
          </w:r>
          <w:r>
            <w:instrText xml:space="preserve"> PAGEREF _Toc21989 </w:instrText>
          </w:r>
          <w:r>
            <w:fldChar w:fldCharType="separate"/>
          </w:r>
          <w:r>
            <w:t>42</w:t>
          </w:r>
          <w:r>
            <w:fldChar w:fldCharType="end"/>
          </w:r>
          <w:r>
            <w:fldChar w:fldCharType="end"/>
          </w:r>
        </w:p>
        <w:p>
          <w:pPr>
            <w:pStyle w:val="7"/>
            <w:tabs>
              <w:tab w:val="right" w:leader="dot" w:pos="8306"/>
            </w:tabs>
          </w:pPr>
          <w:r>
            <w:fldChar w:fldCharType="begin"/>
          </w:r>
          <w:r>
            <w:instrText xml:space="preserve"> HYPERLINK \l _Toc22733 </w:instrText>
          </w:r>
          <w:r>
            <w:fldChar w:fldCharType="separate"/>
          </w:r>
          <w:r>
            <w:rPr>
              <w:rFonts w:hint="eastAsia" w:ascii="宋体" w:hAnsi="宋体" w:eastAsia="宋体" w:cs="宋体"/>
              <w:bCs/>
              <w:kern w:val="0"/>
              <w:szCs w:val="24"/>
            </w:rPr>
            <w:t>3 结论与建议</w:t>
          </w:r>
          <w:r>
            <w:tab/>
          </w:r>
          <w:r>
            <w:fldChar w:fldCharType="begin"/>
          </w:r>
          <w:r>
            <w:instrText xml:space="preserve"> PAGEREF _Toc22733 </w:instrText>
          </w:r>
          <w:r>
            <w:fldChar w:fldCharType="separate"/>
          </w:r>
          <w:r>
            <w:t>45</w:t>
          </w:r>
          <w:r>
            <w:fldChar w:fldCharType="end"/>
          </w:r>
          <w:r>
            <w:fldChar w:fldCharType="end"/>
          </w:r>
        </w:p>
        <w:p>
          <w:pPr>
            <w:pStyle w:val="7"/>
            <w:tabs>
              <w:tab w:val="right" w:leader="dot" w:pos="8306"/>
            </w:tabs>
          </w:pPr>
          <w:r>
            <w:fldChar w:fldCharType="begin"/>
          </w:r>
          <w:r>
            <w:instrText xml:space="preserve"> HYPERLINK \l _Toc29901 </w:instrText>
          </w:r>
          <w:r>
            <w:fldChar w:fldCharType="separate"/>
          </w:r>
          <w:r>
            <w:rPr>
              <w:rFonts w:hint="eastAsia" w:ascii="宋体" w:hAnsi="宋体" w:eastAsia="宋体" w:cs="宋体"/>
              <w:bCs/>
              <w:kern w:val="0"/>
              <w:szCs w:val="24"/>
            </w:rPr>
            <w:t>4 项目成果</w:t>
          </w:r>
          <w:r>
            <w:tab/>
          </w:r>
          <w:r>
            <w:fldChar w:fldCharType="begin"/>
          </w:r>
          <w:r>
            <w:instrText xml:space="preserve"> PAGEREF _Toc29901 </w:instrText>
          </w:r>
          <w:r>
            <w:fldChar w:fldCharType="separate"/>
          </w:r>
          <w:r>
            <w:t>46</w:t>
          </w:r>
          <w:r>
            <w:fldChar w:fldCharType="end"/>
          </w:r>
          <w:r>
            <w:fldChar w:fldCharType="end"/>
          </w:r>
        </w:p>
        <w:p>
          <w:pPr>
            <w:pStyle w:val="7"/>
            <w:tabs>
              <w:tab w:val="right" w:leader="dot" w:pos="8306"/>
            </w:tabs>
          </w:pPr>
          <w:r>
            <w:fldChar w:fldCharType="begin"/>
          </w:r>
          <w:r>
            <w:instrText xml:space="preserve"> HYPERLINK \l _Toc24150 </w:instrText>
          </w:r>
          <w:r>
            <w:fldChar w:fldCharType="separate"/>
          </w:r>
          <w:r>
            <w:rPr>
              <w:rFonts w:hint="eastAsia" w:ascii="宋体" w:hAnsi="宋体" w:eastAsia="宋体" w:cs="宋体"/>
              <w:bCs/>
              <w:kern w:val="0"/>
              <w:szCs w:val="24"/>
            </w:rPr>
            <w:t>5 参考文献</w:t>
          </w:r>
          <w:r>
            <w:tab/>
          </w:r>
          <w:r>
            <w:fldChar w:fldCharType="begin"/>
          </w:r>
          <w:r>
            <w:instrText xml:space="preserve"> PAGEREF _Toc24150 </w:instrText>
          </w:r>
          <w:r>
            <w:fldChar w:fldCharType="separate"/>
          </w:r>
          <w:r>
            <w:t>47</w:t>
          </w:r>
          <w:r>
            <w:fldChar w:fldCharType="end"/>
          </w:r>
          <w:r>
            <w:fldChar w:fldCharType="end"/>
          </w:r>
        </w:p>
        <w:p>
          <w:pPr>
            <w:pStyle w:val="7"/>
            <w:tabs>
              <w:tab w:val="right" w:leader="dot" w:pos="8306"/>
            </w:tabs>
          </w:pPr>
          <w:r>
            <w:fldChar w:fldCharType="begin"/>
          </w:r>
          <w:r>
            <w:instrText xml:space="preserve"> HYPERLINK \l _Toc9740 </w:instrText>
          </w:r>
          <w:r>
            <w:fldChar w:fldCharType="separate"/>
          </w:r>
          <w:r>
            <w:rPr>
              <w:rFonts w:hint="eastAsia" w:ascii="宋体" w:hAnsi="宋体" w:eastAsia="宋体" w:cs="宋体"/>
              <w:szCs w:val="24"/>
            </w:rPr>
            <w:t>项目结题验收单</w:t>
          </w:r>
          <w:r>
            <w:tab/>
          </w:r>
          <w:r>
            <w:fldChar w:fldCharType="begin"/>
          </w:r>
          <w:r>
            <w:instrText xml:space="preserve"> PAGEREF _Toc9740 </w:instrText>
          </w:r>
          <w:r>
            <w:fldChar w:fldCharType="separate"/>
          </w:r>
          <w:r>
            <w:t>49</w:t>
          </w:r>
          <w:r>
            <w:fldChar w:fldCharType="end"/>
          </w:r>
          <w:r>
            <w:fldChar w:fldCharType="end"/>
          </w:r>
        </w:p>
        <w:p>
          <w:pPr>
            <w:autoSpaceDE w:val="0"/>
            <w:autoSpaceDN w:val="0"/>
            <w:adjustRightInd w:val="0"/>
            <w:spacing w:line="360" w:lineRule="auto"/>
            <w:ind w:firstLine="420" w:firstLineChars="200"/>
            <w:jc w:val="center"/>
            <w:sectPr>
              <w:pgSz w:w="11906" w:h="16838"/>
              <w:pgMar w:top="1440" w:right="1800" w:bottom="1440" w:left="1800" w:header="851" w:footer="992" w:gutter="0"/>
              <w:pgNumType w:start="1"/>
              <w:cols w:space="425" w:num="1"/>
              <w:docGrid w:type="linesAndChars" w:linePitch="312" w:charSpace="0"/>
            </w:sectPr>
          </w:pPr>
          <w:r>
            <w:fldChar w:fldCharType="end"/>
          </w:r>
        </w:p>
      </w:sdtContent>
    </w:sdt>
    <w:p>
      <w:pPr>
        <w:autoSpaceDE w:val="0"/>
        <w:autoSpaceDN w:val="0"/>
        <w:adjustRightInd w:val="0"/>
        <w:spacing w:line="360" w:lineRule="auto"/>
        <w:ind w:firstLine="420" w:firstLineChars="200"/>
        <w:jc w:val="center"/>
      </w:pPr>
    </w:p>
    <w:p>
      <w:pPr>
        <w:autoSpaceDE w:val="0"/>
        <w:autoSpaceDN w:val="0"/>
        <w:adjustRightInd w:val="0"/>
        <w:spacing w:line="480" w:lineRule="auto"/>
        <w:ind w:firstLine="560" w:firstLineChars="200"/>
        <w:jc w:val="center"/>
        <w:outlineLvl w:val="0"/>
        <w:rPr>
          <w:rFonts w:ascii="宋体" w:hAnsi="宋体" w:eastAsia="宋体" w:cs="宋体"/>
          <w:b/>
          <w:bCs/>
          <w:kern w:val="0"/>
          <w:sz w:val="24"/>
          <w:szCs w:val="24"/>
        </w:rPr>
      </w:pPr>
      <w:bookmarkStart w:id="4" w:name="_Toc8408"/>
      <w:bookmarkStart w:id="5" w:name="_Toc14829"/>
      <w:bookmarkStart w:id="6" w:name="_Toc8743"/>
      <w:bookmarkStart w:id="7" w:name="_Toc3249"/>
      <w:bookmarkStart w:id="8" w:name="_Toc19999"/>
      <w:bookmarkStart w:id="9" w:name="_Toc7525"/>
      <w:r>
        <w:rPr>
          <w:rFonts w:hint="eastAsia" w:ascii="宋体" w:hAnsi="宋体" w:eastAsia="宋体" w:cs="宋体"/>
          <w:b/>
          <w:bCs/>
          <w:kern w:val="0"/>
          <w:sz w:val="28"/>
          <w:szCs w:val="28"/>
        </w:rPr>
        <w:t>高校图书馆业务布局重组及新型服务能力体系构建研究</w:t>
      </w:r>
      <w:bookmarkEnd w:id="0"/>
      <w:bookmarkEnd w:id="1"/>
      <w:bookmarkEnd w:id="2"/>
      <w:bookmarkEnd w:id="3"/>
      <w:bookmarkEnd w:id="4"/>
      <w:bookmarkEnd w:id="5"/>
      <w:bookmarkEnd w:id="6"/>
      <w:bookmarkEnd w:id="7"/>
      <w:bookmarkEnd w:id="8"/>
      <w:bookmarkEnd w:id="9"/>
    </w:p>
    <w:p>
      <w:pPr>
        <w:autoSpaceDE w:val="0"/>
        <w:autoSpaceDN w:val="0"/>
        <w:adjustRightInd w:val="0"/>
        <w:spacing w:line="480" w:lineRule="auto"/>
        <w:ind w:firstLine="480" w:firstLineChars="200"/>
        <w:jc w:val="left"/>
        <w:rPr>
          <w:rFonts w:ascii="宋体" w:hAnsi="宋体" w:eastAsia="宋体" w:cs="宋体"/>
          <w:kern w:val="0"/>
          <w:sz w:val="24"/>
          <w:szCs w:val="24"/>
        </w:rPr>
      </w:pPr>
      <w:r>
        <w:rPr>
          <w:rFonts w:hint="eastAsia" w:ascii="宋体" w:hAnsi="宋体" w:eastAsia="宋体" w:cs="宋体"/>
          <w:b/>
          <w:bCs/>
          <w:kern w:val="0"/>
          <w:sz w:val="24"/>
          <w:szCs w:val="24"/>
        </w:rPr>
        <w:t xml:space="preserve">关键词 </w:t>
      </w:r>
      <w:r>
        <w:rPr>
          <w:rFonts w:hint="eastAsia" w:ascii="宋体" w:hAnsi="宋体" w:eastAsia="宋体" w:cs="宋体"/>
          <w:kern w:val="0"/>
          <w:sz w:val="24"/>
          <w:szCs w:val="24"/>
        </w:rPr>
        <w:t>业务布局 组织结构 重组 能</w:t>
      </w:r>
      <w:bookmarkStart w:id="10" w:name="_Toc23102"/>
      <w:r>
        <w:rPr>
          <w:rFonts w:hint="eastAsia" w:ascii="宋体" w:hAnsi="宋体" w:eastAsia="宋体" w:cs="宋体"/>
          <w:kern w:val="0"/>
          <w:sz w:val="24"/>
          <w:szCs w:val="24"/>
        </w:rPr>
        <w:t>力</w:t>
      </w:r>
    </w:p>
    <w:p>
      <w:pPr>
        <w:autoSpaceDE w:val="0"/>
        <w:autoSpaceDN w:val="0"/>
        <w:adjustRightInd w:val="0"/>
        <w:spacing w:line="480" w:lineRule="auto"/>
        <w:ind w:firstLine="480" w:firstLineChars="200"/>
        <w:jc w:val="left"/>
        <w:outlineLvl w:val="0"/>
        <w:rPr>
          <w:rFonts w:ascii="宋体" w:hAnsi="宋体" w:eastAsia="宋体" w:cs="宋体"/>
          <w:b/>
          <w:bCs/>
          <w:kern w:val="0"/>
          <w:sz w:val="24"/>
          <w:szCs w:val="24"/>
        </w:rPr>
      </w:pPr>
      <w:bookmarkStart w:id="11" w:name="_Toc16121"/>
      <w:r>
        <w:rPr>
          <w:rFonts w:hint="eastAsia" w:ascii="宋体" w:hAnsi="宋体" w:eastAsia="宋体" w:cs="宋体"/>
          <w:b/>
          <w:bCs/>
          <w:kern w:val="0"/>
          <w:sz w:val="24"/>
          <w:szCs w:val="24"/>
        </w:rPr>
        <w:t>1研究背景、目的和意义</w:t>
      </w:r>
      <w:bookmarkEnd w:id="10"/>
      <w:bookmarkEnd w:id="11"/>
    </w:p>
    <w:p>
      <w:pPr>
        <w:autoSpaceDE w:val="0"/>
        <w:autoSpaceDN w:val="0"/>
        <w:adjustRightInd w:val="0"/>
        <w:spacing w:line="360" w:lineRule="auto"/>
        <w:ind w:firstLine="480" w:firstLineChars="200"/>
        <w:jc w:val="left"/>
        <w:outlineLvl w:val="1"/>
        <w:rPr>
          <w:rFonts w:ascii="宋体" w:hAnsi="宋体" w:eastAsia="宋体" w:cs="宋体"/>
          <w:b/>
          <w:bCs/>
          <w:kern w:val="0"/>
          <w:sz w:val="24"/>
          <w:szCs w:val="24"/>
        </w:rPr>
      </w:pPr>
      <w:bookmarkStart w:id="12" w:name="_Toc31111"/>
      <w:bookmarkStart w:id="13" w:name="_Toc30162"/>
      <w:r>
        <w:rPr>
          <w:rFonts w:hint="eastAsia" w:ascii="宋体" w:hAnsi="宋体" w:eastAsia="宋体" w:cs="宋体"/>
          <w:b/>
          <w:bCs/>
          <w:kern w:val="0"/>
          <w:sz w:val="24"/>
          <w:szCs w:val="24"/>
        </w:rPr>
        <w:t>1.1 研究背景</w:t>
      </w:r>
      <w:bookmarkEnd w:id="12"/>
      <w:bookmarkEnd w:id="13"/>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高等学校发展历程中，图书馆一直发挥着举足轻重的作用，是学校的文献信息管理和服务中心，是为教学科学研究服务的学术性机构，其服务水平和质量直接影响着高校发展的总体水平。2015年10月国务院下发《统筹推进世界一流大学和一流学科建设总体方案》（简称“‘双一流’建设”),2017年1月颁布《统</w:t>
      </w:r>
      <w:bookmarkStart w:id="14" w:name="_Hlk33563095"/>
      <w:r>
        <w:rPr>
          <w:rFonts w:hint="eastAsia" w:ascii="宋体" w:hAnsi="宋体" w:eastAsia="宋体" w:cs="宋体"/>
          <w:kern w:val="0"/>
          <w:sz w:val="24"/>
          <w:szCs w:val="24"/>
        </w:rPr>
        <w:t>筹</w:t>
      </w:r>
      <w:bookmarkEnd w:id="14"/>
      <w:r>
        <w:rPr>
          <w:rFonts w:hint="eastAsia" w:ascii="宋体" w:hAnsi="宋体" w:eastAsia="宋体" w:cs="宋体"/>
          <w:kern w:val="0"/>
          <w:sz w:val="24"/>
          <w:szCs w:val="24"/>
        </w:rPr>
        <w:t>推进世界一流大学和一流学科建设实施办法》，“双一流”建设全面启动，为我国高等教育发展指引了新的方向。在这个历史的关键时期，作为大学重要支撑条件，高校图书馆应该把握那些重要方向？抓住哪些关键题？积大限度地统筹资金、提升服务质量与效能，是图书馆面临的新挑战。</w:t>
      </w:r>
    </w:p>
    <w:p>
      <w:pPr>
        <w:autoSpaceDE w:val="0"/>
        <w:autoSpaceDN w:val="0"/>
        <w:adjustRightInd w:val="0"/>
        <w:spacing w:line="360" w:lineRule="auto"/>
        <w:ind w:firstLine="480" w:firstLineChars="200"/>
        <w:jc w:val="left"/>
        <w:outlineLvl w:val="1"/>
        <w:rPr>
          <w:rFonts w:ascii="宋体" w:hAnsi="宋体" w:eastAsia="宋体" w:cs="宋体"/>
          <w:kern w:val="0"/>
          <w:sz w:val="24"/>
          <w:szCs w:val="24"/>
        </w:rPr>
      </w:pPr>
      <w:bookmarkStart w:id="15" w:name="_Toc18964"/>
      <w:bookmarkStart w:id="16" w:name="_Toc25901"/>
      <w:bookmarkStart w:id="17" w:name="_Toc15724"/>
      <w:bookmarkStart w:id="18" w:name="_Toc30323"/>
      <w:bookmarkStart w:id="19" w:name="_Toc17407"/>
      <w:r>
        <w:rPr>
          <w:rFonts w:hint="eastAsia" w:ascii="宋体" w:hAnsi="宋体" w:eastAsia="宋体" w:cs="宋体"/>
          <w:b/>
          <w:bCs/>
          <w:kern w:val="0"/>
          <w:sz w:val="24"/>
          <w:szCs w:val="24"/>
        </w:rPr>
        <w:t>1.2 研究目的和意义</w:t>
      </w:r>
      <w:bookmarkEnd w:id="15"/>
      <w:bookmarkEnd w:id="16"/>
      <w:bookmarkEnd w:id="17"/>
      <w:bookmarkEnd w:id="18"/>
      <w:bookmarkEnd w:id="19"/>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本研究目的是探讨新形势下高校图书馆业务布局重组及新型服务能力体系构建，为推动国内图书馆转型变革提供理论依据，随着互联网为代表的信息技术发展，以及大数据、云计算、人工智能研究的不断深入和应用，高校图书馆服务内涵和业务范畴发生了变化，图书馆发展从资源驱动走向以服务为主导的新时代，从传统的以文献、馆舍和馆内服务，正逐步向嵌入式学科服务、数据服务、智库服务、智能服务等新型服务层次延伸和拓展，进入了图书馆发展的新时代。新时代的图书馆从自身定位、业务布局、发展模式、技术应用、服务能力、管理效能等方面都与传统的图书馆有很大的不同，需要新的理论认知和新的规划设计，从战略高度上为未来图书馆发展指明方向。</w:t>
      </w:r>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本研究对高校图书馆的发展具有现实意义。数字化信息、泛在知识环境、智能化的信息工具、开放获取等无时无刻不在影响图书馆用户信息利用行为，也影响图书馆的运作方式和流程，传统图书馆业务布局以图书馆工作流程为主，分为采、编、典、流通、参考咨询等，现在有的馆虽然开展了自助借还、信息资源利用培训、文献传递、科技查新、学科服务等，但大都在原有业务基础上修修补补。并未发生质的变化。总体看信息加工粗糙、信息反应不及时、信息服务内容少、业务布局馆内大于馆外，核心竞争力薄弱，因此在新环境下。如何对现有的部门设置、人员配备、工作流程和主要职能进行重新设定，对组织机构和业务布局进行获组，提升图书馆专业能力和服务品质。提高图书馆的效能，扩大图书馆的影响力，让图书馆服务渗透到学校发展的每一步，形成与教学科研人才培养等深度融合，重新架构图书馆在学校的支撑功能，对图书馆未来价值体现和可持续发展尤为重要。</w:t>
      </w:r>
    </w:p>
    <w:p>
      <w:pPr>
        <w:autoSpaceDE w:val="0"/>
        <w:autoSpaceDN w:val="0"/>
        <w:adjustRightInd w:val="0"/>
        <w:spacing w:line="360" w:lineRule="auto"/>
        <w:ind w:firstLine="480" w:firstLineChars="200"/>
        <w:jc w:val="left"/>
        <w:outlineLvl w:val="0"/>
        <w:rPr>
          <w:rFonts w:ascii="宋体" w:hAnsi="宋体" w:eastAsia="宋体" w:cs="宋体"/>
          <w:b/>
          <w:bCs/>
          <w:kern w:val="0"/>
          <w:sz w:val="24"/>
          <w:szCs w:val="24"/>
        </w:rPr>
      </w:pPr>
      <w:bookmarkStart w:id="20" w:name="_Toc486"/>
      <w:bookmarkStart w:id="21" w:name="_Toc28927"/>
      <w:r>
        <w:rPr>
          <w:rFonts w:hint="eastAsia" w:ascii="宋体" w:hAnsi="宋体" w:eastAsia="宋体" w:cs="宋体"/>
          <w:b/>
          <w:bCs/>
          <w:kern w:val="0"/>
          <w:sz w:val="24"/>
          <w:szCs w:val="24"/>
        </w:rPr>
        <w:t>2 研究思路、方法及内容</w:t>
      </w:r>
      <w:bookmarkEnd w:id="20"/>
      <w:bookmarkEnd w:id="21"/>
    </w:p>
    <w:p>
      <w:pPr>
        <w:autoSpaceDE w:val="0"/>
        <w:autoSpaceDN w:val="0"/>
        <w:adjustRightInd w:val="0"/>
        <w:spacing w:line="360" w:lineRule="auto"/>
        <w:ind w:firstLine="480" w:firstLineChars="200"/>
        <w:jc w:val="left"/>
        <w:outlineLvl w:val="1"/>
        <w:rPr>
          <w:rFonts w:ascii="宋体" w:hAnsi="宋体" w:eastAsia="宋体" w:cs="宋体"/>
          <w:b/>
          <w:bCs/>
          <w:kern w:val="0"/>
          <w:sz w:val="24"/>
          <w:szCs w:val="24"/>
        </w:rPr>
      </w:pPr>
      <w:bookmarkStart w:id="22" w:name="_Toc6183"/>
      <w:bookmarkStart w:id="23" w:name="_Toc5207"/>
      <w:r>
        <w:rPr>
          <w:rFonts w:hint="eastAsia" w:ascii="宋体" w:hAnsi="宋体" w:eastAsia="宋体" w:cs="宋体"/>
          <w:b/>
          <w:bCs/>
          <w:kern w:val="0"/>
          <w:sz w:val="24"/>
          <w:szCs w:val="24"/>
        </w:rPr>
        <w:t>2.1 研究思路</w:t>
      </w:r>
      <w:bookmarkEnd w:id="22"/>
      <w:bookmarkEnd w:id="23"/>
    </w:p>
    <w:p>
      <w:pPr>
        <w:autoSpaceDE w:val="0"/>
        <w:autoSpaceDN w:val="0"/>
        <w:adjustRightInd w:val="0"/>
        <w:spacing w:line="360" w:lineRule="auto"/>
        <w:ind w:firstLine="480" w:firstLineChars="200"/>
        <w:jc w:val="left"/>
        <w:outlineLvl w:val="2"/>
        <w:rPr>
          <w:rFonts w:ascii="宋体" w:hAnsi="宋体" w:eastAsia="宋体" w:cs="宋体"/>
          <w:kern w:val="0"/>
          <w:sz w:val="24"/>
          <w:szCs w:val="24"/>
        </w:rPr>
      </w:pPr>
      <w:bookmarkStart w:id="24" w:name="_Toc16438"/>
      <w:bookmarkStart w:id="25" w:name="_Toc22811"/>
      <w:bookmarkStart w:id="26" w:name="_Toc27154"/>
      <w:bookmarkStart w:id="27" w:name="_Toc11730"/>
      <w:bookmarkStart w:id="28" w:name="_Toc6261"/>
      <w:r>
        <w:rPr>
          <w:rFonts w:hint="eastAsia" w:ascii="宋体" w:hAnsi="宋体" w:eastAsia="宋体" w:cs="宋体"/>
          <w:b/>
          <w:bCs/>
          <w:kern w:val="0"/>
          <w:sz w:val="24"/>
          <w:szCs w:val="24"/>
        </w:rPr>
        <w:t>2.1.1 图书馆业务布局重组</w:t>
      </w:r>
      <w:bookmarkEnd w:id="24"/>
      <w:bookmarkEnd w:id="25"/>
      <w:bookmarkEnd w:id="26"/>
      <w:r>
        <w:rPr>
          <w:rFonts w:hint="eastAsia" w:ascii="宋体" w:hAnsi="宋体" w:eastAsia="宋体" w:cs="宋体"/>
          <w:b/>
          <w:bCs/>
          <w:kern w:val="0"/>
          <w:sz w:val="24"/>
          <w:szCs w:val="24"/>
        </w:rPr>
        <w:t>动因</w:t>
      </w:r>
      <w:bookmarkEnd w:id="27"/>
      <w:bookmarkEnd w:id="28"/>
    </w:p>
    <w:p>
      <w:pPr>
        <w:widowControl/>
        <w:shd w:val="clear" w:color="auto" w:fill="FFFFFF"/>
        <w:spacing w:line="360" w:lineRule="auto"/>
        <w:ind w:firstLine="480" w:firstLineChars="200"/>
        <w:jc w:val="left"/>
        <w:rPr>
          <w:rFonts w:ascii="宋体" w:hAnsi="宋体" w:eastAsia="宋体" w:cs="宋体"/>
          <w:kern w:val="0"/>
          <w:sz w:val="24"/>
          <w:szCs w:val="24"/>
        </w:rPr>
      </w:pPr>
      <w:r>
        <w:rPr>
          <w:rFonts w:hint="eastAsia" w:ascii="宋体" w:hAnsi="宋体" w:eastAsia="宋体" w:cs="宋体"/>
          <w:color w:val="333333"/>
          <w:sz w:val="24"/>
          <w:szCs w:val="24"/>
          <w:shd w:val="clear" w:color="auto" w:fill="FFFFFF"/>
        </w:rPr>
        <w:t>图书馆业务涉及文献的收集、整理、保存和服务4个环节。业务对职能实现起支撑作用，</w:t>
      </w:r>
      <w:r>
        <w:rPr>
          <w:rFonts w:hint="eastAsia" w:ascii="宋体" w:hAnsi="宋体" w:eastAsia="宋体" w:cs="宋体"/>
          <w:color w:val="333333"/>
          <w:kern w:val="0"/>
          <w:sz w:val="24"/>
          <w:szCs w:val="24"/>
        </w:rPr>
        <w:t xml:space="preserve"> 20世纪80年代之前，图书馆收集的文献以纸质为主，如在</w:t>
      </w:r>
      <w:r>
        <w:rPr>
          <w:rFonts w:hint="eastAsia" w:ascii="宋体" w:hAnsi="宋体" w:eastAsia="宋体" w:cs="宋体"/>
          <w:kern w:val="0"/>
          <w:sz w:val="24"/>
          <w:szCs w:val="24"/>
        </w:rPr>
        <w:t>1981年颁布的《中华人民共和国高等学校图书馆工作条例》“业务工作”部分，明确写出高校图手馆业务工作围绕“纸质书刊”进行，“高等学校图书馆应根据学校教学和科学研究的需要及馆藏基础，通过多种途径，有计划、有重点地补充国内外书刊资料，逐步形成具有本校专业特色的藏书体系”。因此传统</w:t>
      </w:r>
      <w:r>
        <w:rPr>
          <w:rFonts w:hint="eastAsia" w:ascii="宋体" w:hAnsi="宋体" w:eastAsia="宋体" w:cs="宋体"/>
          <w:color w:val="333333"/>
          <w:kern w:val="0"/>
          <w:sz w:val="24"/>
          <w:szCs w:val="24"/>
        </w:rPr>
        <w:t>图书馆按纸质文献“采集</w:t>
      </w:r>
      <w:bookmarkStart w:id="29" w:name="_Hlk34744793"/>
      <w:r>
        <w:rPr>
          <w:rFonts w:hint="eastAsia" w:ascii="宋体" w:hAnsi="宋体" w:eastAsia="宋体" w:cs="宋体"/>
          <w:color w:val="333333"/>
          <w:kern w:val="0"/>
          <w:sz w:val="24"/>
          <w:szCs w:val="24"/>
        </w:rPr>
        <w:t>-</w:t>
      </w:r>
      <w:bookmarkEnd w:id="29"/>
      <w:r>
        <w:rPr>
          <w:rFonts w:hint="eastAsia" w:ascii="宋体" w:hAnsi="宋体" w:eastAsia="宋体" w:cs="宋体"/>
          <w:color w:val="333333"/>
          <w:kern w:val="0"/>
          <w:sz w:val="24"/>
          <w:szCs w:val="24"/>
        </w:rPr>
        <w:t>整理-使用”处理过程进行业务布局和设置工作部门，形成了一个相对固定的模式，并以政府法规形式予以确认。</w:t>
      </w:r>
      <w:r>
        <w:rPr>
          <w:rFonts w:hint="eastAsia" w:ascii="宋体" w:hAnsi="宋体" w:eastAsia="宋体" w:cs="宋体"/>
          <w:kern w:val="0"/>
          <w:sz w:val="24"/>
          <w:szCs w:val="24"/>
        </w:rPr>
        <w:t>1956年教育部颁布《中华人民共和国高等学校图书馆试行条例（草案）</w:t>
      </w:r>
      <w:bookmarkStart w:id="30" w:name="_Hlk34748910"/>
      <w:r>
        <w:rPr>
          <w:rFonts w:hint="eastAsia" w:ascii="宋体" w:hAnsi="宋体" w:eastAsia="宋体" w:cs="宋体"/>
          <w:kern w:val="0"/>
          <w:sz w:val="24"/>
          <w:szCs w:val="24"/>
        </w:rPr>
        <w:t>》</w:t>
      </w:r>
      <w:bookmarkEnd w:id="30"/>
      <w:r>
        <w:rPr>
          <w:rFonts w:hint="eastAsia" w:ascii="宋体" w:hAnsi="宋体" w:eastAsia="宋体" w:cs="宋体"/>
          <w:kern w:val="0"/>
          <w:sz w:val="24"/>
          <w:szCs w:val="24"/>
        </w:rPr>
        <w:t>中，组织机构及其职责部分指出“高等学校图书馆一般应设立采录部（组）、编目</w:t>
      </w:r>
      <w:bookmarkStart w:id="31" w:name="_Hlk34748559"/>
      <w:r>
        <w:rPr>
          <w:rFonts w:hint="eastAsia" w:ascii="宋体" w:hAnsi="宋体" w:eastAsia="宋体" w:cs="宋体"/>
          <w:kern w:val="0"/>
          <w:sz w:val="24"/>
          <w:szCs w:val="24"/>
        </w:rPr>
        <w:t>部（组）</w:t>
      </w:r>
      <w:bookmarkEnd w:id="31"/>
      <w:r>
        <w:rPr>
          <w:rFonts w:hint="eastAsia" w:ascii="宋体" w:hAnsi="宋体" w:eastAsia="宋体" w:cs="宋体"/>
          <w:kern w:val="0"/>
          <w:sz w:val="24"/>
          <w:szCs w:val="24"/>
        </w:rPr>
        <w:t>、流通管理部（组）；可根据具体情况和发展规模增设办公室和参考阅览部（组）、期刊部（组）、方法研究部（组）、特藏等部（组）；规模较大的图书馆还可以再设立专业分馆”。由此从20世纪50年代起全国各个图书馆设立的业务部门中，采编部、典藏部、流通部、期刊部、参考部，几乎成为各个图书馆部门的“标配”，成为各个高校图书馆机构设置的经典模式。进入20世纪80年代后，虽然部分高校图书馆引进了计算机开展图书馆业务工作，在1981年颁布的《高等学校图书馆工作条例》中对图书馆组织机构设置模式基本沿用1956年《高等学校图书馆试行条例（草案）》，但新增加了情报服务部（组）、技术部（组），并</w:t>
      </w:r>
      <w:r>
        <w:rPr>
          <w:rFonts w:hint="eastAsia" w:ascii="宋体" w:hAnsi="宋体" w:eastAsia="宋体" w:cs="宋体"/>
          <w:sz w:val="24"/>
          <w:szCs w:val="24"/>
        </w:rPr>
        <w:t>在“经费设备馆舍”部分指出“高等学校应有计划地为图书馆添置复印、缩微、视听等设备和家俱，纳入学校设备购置几乎，由设备费内开支，电子计算机等现代装备由教育行政部门（或国家有关部门）全面规划，统筹安排”</w:t>
      </w:r>
      <w:r>
        <w:rPr>
          <w:rFonts w:hint="eastAsia" w:ascii="宋体" w:hAnsi="宋体" w:eastAsia="宋体" w:cs="宋体"/>
          <w:kern w:val="0"/>
          <w:sz w:val="24"/>
          <w:szCs w:val="24"/>
        </w:rPr>
        <w:t>。1987年和2002年教育部颁布《普通高等学校图书馆规程（修订）》，都没有再规定图书馆内部的部门设置。文献纸质文献为主的时代，该业务布局设计运行了数十年。</w:t>
      </w:r>
    </w:p>
    <w:p>
      <w:pPr>
        <w:widowControl/>
        <w:shd w:val="clear" w:color="auto" w:fill="FFFFFF"/>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进入21世纪之后，随着技术的进步，内外环境的变化。图书馆这种组织结构受到了挑战。当今社会己经是信息大爆炸的时代，随着网络及各项技术的广泛应用与不断提升，信息的载体形式不断翻新，信息的数量也以惊人的速度增长，这就造成了信息生产、组织、传递，存储与利用的格局发生了变化。图书馆的载体方式也从过去的以纸质文献为主向以数字化文献为主的方向转变，改变了人们以往获取信息的方式和阅读行为，人们对信息的需求变得更加开放化、社会化，综合化。现在有的馆虽然开展了自助借还、信息资源利用培训、文献传递、科技查新、学科服务等，但大都在原有业务基础上修修补补，并未发生质的变化。总体看信息加工粗糙、信息反应不及时、信息服务内容少、业务布局馆内大于馆外，核心竞争力薄弱。</w:t>
      </w:r>
      <w:r>
        <w:rPr>
          <w:rFonts w:hint="eastAsia" w:ascii="宋体" w:hAnsi="宋体" w:eastAsia="宋体" w:cs="宋体"/>
          <w:color w:val="333333"/>
          <w:kern w:val="0"/>
          <w:sz w:val="24"/>
          <w:szCs w:val="24"/>
        </w:rPr>
        <w:t>阮冈纳赞认为 “图书馆是一个生长的有机体”，</w:t>
      </w:r>
      <w:r>
        <w:rPr>
          <w:rFonts w:hint="eastAsia" w:ascii="宋体" w:hAnsi="宋体" w:eastAsia="宋体" w:cs="宋体"/>
          <w:color w:val="333333"/>
          <w:sz w:val="24"/>
          <w:szCs w:val="24"/>
          <w:shd w:val="clear" w:color="auto" w:fill="FFFFFF"/>
        </w:rPr>
        <w:t>因此</w:t>
      </w:r>
      <w:r>
        <w:rPr>
          <w:rFonts w:hint="eastAsia" w:ascii="宋体" w:hAnsi="宋体" w:eastAsia="宋体" w:cs="宋体"/>
          <w:kern w:val="0"/>
          <w:sz w:val="24"/>
          <w:szCs w:val="24"/>
        </w:rPr>
        <w:t>高校图书馆如何适应社会变化和技术的进步，对现有的部门设置、人员配备、工作业务布局和主要职能进行重新设定，对组织机构和业务布局进行获组，提升图书馆专业能力和服务品质。提高图书馆的效能，扩大图书馆的影响力，让图书馆服务渗透到学校发展的每一步，形成与教学科研人才培养等深度融合，重新架构图书馆在学校的支撑功能，对图书馆未来价值体现和可持续发展尤为重要。</w:t>
      </w:r>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xml:space="preserve">实质是随着环境变化，图书馆组织机构变革，业务布局调整几乎从未停止过，但都是个案。从20世纪90年代开始，如哈佛大学，康奈尔大学等，就尝试全面的质量管理（Total </w:t>
      </w:r>
      <w:bookmarkStart w:id="32" w:name="_Hlk33992604"/>
      <w:r>
        <w:rPr>
          <w:rFonts w:hint="eastAsia" w:ascii="宋体" w:hAnsi="宋体" w:eastAsia="宋体" w:cs="宋体"/>
          <w:kern w:val="0"/>
          <w:sz w:val="24"/>
          <w:szCs w:val="24"/>
        </w:rPr>
        <w:t>Quality</w:t>
      </w:r>
      <w:bookmarkEnd w:id="32"/>
      <w:r>
        <w:rPr>
          <w:rFonts w:hint="eastAsia" w:ascii="宋体" w:hAnsi="宋体" w:eastAsia="宋体" w:cs="宋体"/>
          <w:kern w:val="0"/>
          <w:sz w:val="24"/>
          <w:szCs w:val="24"/>
        </w:rPr>
        <w:t xml:space="preserve"> Management)与业务重组等管理方法，对图书馆内部进行组织调整、机构改革，期望能够运用最优化的管理方法重新设计图书馆的运作流程，实现图书馆内部业务门的机构重组，从传统图书馆转型为新型图书馆。近年来。我国上海交通大学、武汉大学和北京大学等国内一流大学图书馆在机构设置方面的实践，也成为国内大学图书馆机构变革风向标。</w:t>
      </w:r>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每个学校所处的环境不一，高校图书馆业务布局重组，以用户需求为中心前提下，应选择最适宜且有利于创造自身价值最大化的重组方案。以图书馆与用户共同价值实现为目的，形成价值共创的合力，从而创造出图书馆与用户共赢的格局。</w:t>
      </w:r>
    </w:p>
    <w:p>
      <w:pPr>
        <w:autoSpaceDE w:val="0"/>
        <w:autoSpaceDN w:val="0"/>
        <w:adjustRightInd w:val="0"/>
        <w:spacing w:line="360" w:lineRule="auto"/>
        <w:ind w:firstLine="480" w:firstLineChars="200"/>
        <w:jc w:val="left"/>
        <w:outlineLvl w:val="2"/>
        <w:rPr>
          <w:rFonts w:ascii="宋体" w:hAnsi="宋体" w:eastAsia="宋体" w:cs="宋体"/>
          <w:b/>
          <w:bCs/>
          <w:kern w:val="0"/>
          <w:sz w:val="24"/>
          <w:szCs w:val="24"/>
        </w:rPr>
      </w:pPr>
      <w:bookmarkStart w:id="33" w:name="_Toc19068"/>
      <w:bookmarkStart w:id="34" w:name="_Toc14880"/>
      <w:r>
        <w:rPr>
          <w:rFonts w:hint="eastAsia" w:ascii="宋体" w:hAnsi="宋体" w:eastAsia="宋体" w:cs="宋体"/>
          <w:b/>
          <w:bCs/>
          <w:kern w:val="0"/>
          <w:sz w:val="24"/>
          <w:szCs w:val="24"/>
        </w:rPr>
        <w:t>2.1.2 业务布局重组研究理论依据</w:t>
      </w:r>
      <w:bookmarkEnd w:id="33"/>
      <w:bookmarkEnd w:id="34"/>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自20世纪90年代以来,业务布局重组已成为一个备受关注的研究热点。信息技术的发展、竞争的加剧及用户需求的个性化等都对组织管理提出了更高的要求,传统的职能型分工已无法适应这种发展趋势,必须组建新的组织形态以适应信息化的发展,业务布局重组即业务流程重组思想由此诞生。</w:t>
      </w:r>
    </w:p>
    <w:p>
      <w:pPr>
        <w:autoSpaceDE w:val="0"/>
        <w:autoSpaceDN w:val="0"/>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1993年，</w:t>
      </w:r>
      <w:r>
        <w:rPr>
          <w:rFonts w:hint="eastAsia" w:ascii="宋体" w:hAnsi="宋体" w:eastAsia="宋体" w:cs="宋体"/>
          <w:kern w:val="0"/>
          <w:sz w:val="24"/>
          <w:szCs w:val="24"/>
        </w:rPr>
        <w:t>美国迈克尔·哈默(Michael Hammer)</w:t>
      </w:r>
      <w:r>
        <w:rPr>
          <w:rFonts w:hint="eastAsia" w:ascii="宋体" w:hAnsi="宋体" w:eastAsia="宋体" w:cs="宋体"/>
          <w:sz w:val="24"/>
          <w:szCs w:val="24"/>
        </w:rPr>
        <w:t>与詹姆斯·钱皮( James Champy)合作出版的《企业重构—经营管理革命的宜言书》一书中阐述了业务布局重组的基本含义：“业务布局重组就是对企业的业务流程进行根本性的再思考和彻底性的再设计，从而获得在成本、质量、服务和速度等方面业绩的戏剧性改善。” 其中，“业务流程”、“根本性”、“彻底性”和“戏剧性”，是业务布局重组定义所关注的4个核心焦点，同时也是对业务布局重组特征的最为经典、最为本质的概括。</w:t>
      </w:r>
    </w:p>
    <w:p>
      <w:pPr>
        <w:autoSpaceDE w:val="0"/>
        <w:autoSpaceDN w:val="0"/>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“根本性”再思考，是进行业务布局重组工作的一种思维方式。它主要是对现存的一切事务进行根本性的再思考，从本质上反思过去的业务布局是否合理。</w:t>
      </w:r>
    </w:p>
    <w:p>
      <w:pPr>
        <w:autoSpaceDE w:val="0"/>
        <w:autoSpaceDN w:val="0"/>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彻底性”再设计，意味着对现在事物不是简单地进行改变、调整或修补，而是追根溯源，抛弃所有陈规陋习以及现存结构与过程，创造出全新的工作思路与方法，对企业的经营管理模式进行彻底的重新构造，而不是对企业进行改良、增强或调整。</w:t>
      </w:r>
    </w:p>
    <w:p>
      <w:pPr>
        <w:autoSpaceDE w:val="0"/>
        <w:autoSpaceDN w:val="0"/>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戏剧性”主要指业务布局重组的出发点不是寻求一般意义的业绩提升或略有改善，而是着眼于绩效上的重大飞跃或突破，实现企业经营管理水平的全面提升。这是流程组区别于一般管理变革的一个重要标志，也是进行业务布局重组的根本目标。</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迈克尔·哈默(Michael Hammer)</w:t>
      </w:r>
      <w:r>
        <w:rPr>
          <w:rFonts w:hint="eastAsia" w:ascii="宋体" w:hAnsi="宋体" w:eastAsia="宋体" w:cs="宋体"/>
          <w:sz w:val="24"/>
          <w:szCs w:val="24"/>
        </w:rPr>
        <w:t>与詹姆斯·钱皮( James Champy)汉默是要对“对业务流程进行根本性的重新思考和彻底的重新设计”，强调的是暴风骤雨式的革命，带有激进色彩，希望一次性变革能带来一劳永逸的优势。人们称之为狭义的</w:t>
      </w:r>
      <w:r>
        <w:rPr>
          <w:rFonts w:hint="eastAsia" w:ascii="宋体" w:hAnsi="宋体" w:eastAsia="宋体" w:cs="宋体"/>
          <w:kern w:val="0"/>
          <w:sz w:val="24"/>
          <w:szCs w:val="24"/>
        </w:rPr>
        <w:t>业务布局重组。</w:t>
      </w:r>
    </w:p>
    <w:p>
      <w:pPr>
        <w:autoSpaceDE w:val="0"/>
        <w:autoSpaceDN w:val="0"/>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以达尔文</w:t>
      </w:r>
      <w:r>
        <w:rPr>
          <w:rFonts w:hint="eastAsia" w:ascii="宋体" w:hAnsi="宋体" w:eastAsia="宋体" w:cs="宋体"/>
          <w:kern w:val="0"/>
          <w:sz w:val="24"/>
          <w:szCs w:val="24"/>
        </w:rPr>
        <w:t>·</w:t>
      </w:r>
      <w:r>
        <w:rPr>
          <w:rFonts w:hint="eastAsia" w:ascii="宋体" w:hAnsi="宋体" w:eastAsia="宋体" w:cs="宋体"/>
          <w:sz w:val="24"/>
          <w:szCs w:val="24"/>
        </w:rPr>
        <w:t>格兰特（Delvin Grant）和马约德</w:t>
      </w:r>
      <w:r>
        <w:rPr>
          <w:rFonts w:hint="eastAsia" w:ascii="宋体" w:hAnsi="宋体" w:eastAsia="宋体" w:cs="宋体"/>
          <w:kern w:val="0"/>
          <w:sz w:val="24"/>
          <w:szCs w:val="24"/>
        </w:rPr>
        <w:t>·</w:t>
      </w:r>
      <w:r>
        <w:rPr>
          <w:rFonts w:hint="eastAsia" w:ascii="宋体" w:hAnsi="宋体" w:eastAsia="宋体" w:cs="宋体"/>
          <w:sz w:val="24"/>
          <w:szCs w:val="24"/>
        </w:rPr>
        <w:t>马歇日（Majed Al-Mashari）为代表提出的广义观点，是以工业实现为宗旨提出的，认为“BPR原则上要求企业是面向流程的，重构过程还应该包含组织结构改造、人力资源管理、有效沟通和技术的应用”。</w:t>
      </w:r>
    </w:p>
    <w:p>
      <w:pPr>
        <w:autoSpaceDE w:val="0"/>
        <w:autoSpaceDN w:val="0"/>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尽管学者们对BPR定义不同，但核心是“</w:t>
      </w:r>
      <w:bookmarkStart w:id="35" w:name="_Hlk34221857"/>
      <w:r>
        <w:rPr>
          <w:rFonts w:hint="eastAsia" w:ascii="宋体" w:hAnsi="宋体" w:eastAsia="宋体" w:cs="宋体"/>
          <w:sz w:val="24"/>
          <w:szCs w:val="24"/>
        </w:rPr>
        <w:t>过程</w:t>
      </w:r>
      <w:bookmarkEnd w:id="35"/>
      <w:r>
        <w:rPr>
          <w:rFonts w:hint="eastAsia" w:ascii="宋体" w:hAnsi="宋体" w:eastAsia="宋体" w:cs="宋体"/>
          <w:sz w:val="24"/>
          <w:szCs w:val="24"/>
        </w:rPr>
        <w:t>”和“重组”，“过程”指整合具体业务活动，在界限分明的各个职能不同的部门之间实现，重组管理作业的流程；“重组”则是通过对旧有的按职能形成的管理流程予以舍弃，以用户需求为导向重组新的业务流程。</w:t>
      </w:r>
    </w:p>
    <w:p>
      <w:pPr>
        <w:autoSpaceDE w:val="0"/>
        <w:autoSpaceDN w:val="0"/>
        <w:adjustRightInd w:val="0"/>
        <w:snapToGrid w:val="0"/>
        <w:spacing w:line="360" w:lineRule="auto"/>
        <w:ind w:firstLine="480" w:firstLineChars="200"/>
        <w:jc w:val="left"/>
        <w:outlineLvl w:val="2"/>
        <w:rPr>
          <w:rFonts w:ascii="宋体" w:hAnsi="宋体" w:eastAsia="宋体" w:cs="宋体"/>
          <w:b/>
          <w:bCs/>
          <w:kern w:val="0"/>
          <w:sz w:val="24"/>
          <w:szCs w:val="24"/>
        </w:rPr>
      </w:pPr>
      <w:bookmarkStart w:id="36" w:name="_Toc26291"/>
      <w:bookmarkStart w:id="37" w:name="_Toc8635"/>
      <w:r>
        <w:rPr>
          <w:rFonts w:hint="eastAsia" w:ascii="宋体" w:hAnsi="宋体" w:eastAsia="宋体" w:cs="宋体"/>
          <w:b/>
          <w:bCs/>
          <w:kern w:val="0"/>
          <w:sz w:val="24"/>
          <w:szCs w:val="24"/>
        </w:rPr>
        <w:t>2.1.3 业务流程重组类型</w:t>
      </w:r>
      <w:bookmarkEnd w:id="36"/>
      <w:r>
        <w:rPr>
          <w:rFonts w:hint="eastAsia" w:ascii="宋体" w:hAnsi="宋体" w:eastAsia="宋体" w:cs="宋体"/>
          <w:b/>
          <w:bCs/>
          <w:kern w:val="0"/>
          <w:sz w:val="24"/>
          <w:szCs w:val="24"/>
        </w:rPr>
        <w:t>及趋势</w:t>
      </w:r>
      <w:bookmarkEnd w:id="37"/>
    </w:p>
    <w:p>
      <w:pPr>
        <w:autoSpaceDE w:val="0"/>
        <w:autoSpaceDN w:val="0"/>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不同行业、不同性质的企业,业务流程重组的形式不可能完全相同。根据流程范围和重组特征,业务流程重组分为以下几类：</w:t>
      </w:r>
    </w:p>
    <w:p>
      <w:pPr>
        <w:autoSpaceDE w:val="0"/>
        <w:autoSpaceDN w:val="0"/>
        <w:adjustRightInd w:val="0"/>
        <w:snapToGrid w:val="0"/>
        <w:spacing w:line="360" w:lineRule="auto"/>
        <w:ind w:firstLine="480" w:firstLineChars="200"/>
        <w:jc w:val="left"/>
        <w:rPr>
          <w:rFonts w:ascii="宋体" w:hAnsi="宋体" w:eastAsia="宋体" w:cs="宋体"/>
          <w:b/>
          <w:bCs/>
          <w:sz w:val="24"/>
          <w:szCs w:val="24"/>
        </w:rPr>
      </w:pPr>
      <w:r>
        <w:rPr>
          <w:rFonts w:hint="eastAsia" w:ascii="宋体" w:hAnsi="宋体" w:eastAsia="宋体" w:cs="宋体"/>
          <w:b/>
          <w:bCs/>
          <w:sz w:val="24"/>
          <w:szCs w:val="24"/>
        </w:rPr>
        <w:t>（1）功能内的业务流程重组</w:t>
      </w:r>
    </w:p>
    <w:p>
      <w:pPr>
        <w:autoSpaceDE w:val="0"/>
        <w:autoSpaceDN w:val="0"/>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对职能内部的流程进行重组。在旧体制下,各职能管理机构重叠、中间层次多,而这些中间管理层一般只执行一些非创造性的统计、汇总、填表等工作,计算机完全可以取代这些业务而将中间层取消,使每项职能从头至尾只有一个职能机构管理,做到机构不重叠、业务不重复。</w:t>
      </w:r>
    </w:p>
    <w:p>
      <w:pPr>
        <w:autoSpaceDE w:val="0"/>
        <w:autoSpaceDN w:val="0"/>
        <w:adjustRightInd w:val="0"/>
        <w:snapToGrid w:val="0"/>
        <w:spacing w:line="360" w:lineRule="auto"/>
        <w:ind w:firstLine="480" w:firstLineChars="200"/>
        <w:jc w:val="left"/>
        <w:rPr>
          <w:rFonts w:ascii="宋体" w:hAnsi="宋体" w:eastAsia="宋体" w:cs="宋体"/>
          <w:b/>
          <w:bCs/>
          <w:sz w:val="24"/>
          <w:szCs w:val="24"/>
        </w:rPr>
      </w:pPr>
      <w:r>
        <w:rPr>
          <w:rFonts w:hint="eastAsia" w:ascii="宋体" w:hAnsi="宋体" w:eastAsia="宋体" w:cs="宋体"/>
          <w:b/>
          <w:bCs/>
          <w:sz w:val="24"/>
          <w:szCs w:val="24"/>
        </w:rPr>
        <w:t>（2）功能间的业务流程重组</w:t>
      </w:r>
    </w:p>
    <w:p>
      <w:pPr>
        <w:autoSpaceDE w:val="0"/>
        <w:autoSpaceDN w:val="0"/>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在企业范围内，跨越多个职能部门边界的业务流程重组。如设计企业的项目管理制，以项目设计为目标，组织集设计、管理、校核人员为一体的项目组，打破部门的界限，实行团队管理。这种组织结构灵活机动，适应性强，将各部门人员组织在一起，使许多工作可平行处理，从而可大幅度地缩短项目设计周期，在管理方式上实现各种物流、业务流自始至终连贯起来的全过程管理，克服传统管理中存在的机构设置分工过细及业务分段管理的情况。</w:t>
      </w:r>
    </w:p>
    <w:p>
      <w:pPr>
        <w:autoSpaceDE w:val="0"/>
        <w:autoSpaceDN w:val="0"/>
        <w:adjustRightInd w:val="0"/>
        <w:snapToGrid w:val="0"/>
        <w:spacing w:line="360" w:lineRule="auto"/>
        <w:ind w:firstLine="480" w:firstLineChars="200"/>
        <w:jc w:val="left"/>
        <w:rPr>
          <w:rFonts w:ascii="宋体" w:hAnsi="宋体" w:eastAsia="宋体" w:cs="宋体"/>
          <w:b/>
          <w:bCs/>
          <w:sz w:val="24"/>
          <w:szCs w:val="24"/>
        </w:rPr>
      </w:pPr>
      <w:r>
        <w:rPr>
          <w:rFonts w:hint="eastAsia" w:ascii="宋体" w:hAnsi="宋体" w:eastAsia="宋体" w:cs="宋体"/>
          <w:b/>
          <w:bCs/>
          <w:sz w:val="24"/>
          <w:szCs w:val="24"/>
        </w:rPr>
        <w:t>（3）组织间的业务流程重组</w:t>
      </w:r>
    </w:p>
    <w:p>
      <w:pPr>
        <w:autoSpaceDE w:val="0"/>
        <w:autoSpaceDN w:val="0"/>
        <w:adjustRightInd w:val="0"/>
        <w:snapToGrid w:val="0"/>
        <w:spacing w:line="360" w:lineRule="auto"/>
        <w:ind w:firstLine="480" w:firstLineChars="200"/>
        <w:jc w:val="left"/>
        <w:rPr>
          <w:rFonts w:ascii="宋体" w:hAnsi="宋体" w:eastAsia="宋体" w:cs="宋体"/>
          <w:b/>
          <w:bCs/>
          <w:sz w:val="24"/>
          <w:szCs w:val="24"/>
        </w:rPr>
      </w:pPr>
      <w:r>
        <w:rPr>
          <w:rFonts w:hint="eastAsia" w:ascii="宋体" w:hAnsi="宋体" w:eastAsia="宋体" w:cs="宋体"/>
          <w:sz w:val="24"/>
          <w:szCs w:val="24"/>
        </w:rPr>
        <w:t>发生在两个以上企业之间的业务重组, 采用共享数据库、统一信息数据等信息技术，将各公司的经营活动连接起来，实现了对多个企业的有效管理，减少了非生产性成本，简化了工作流程。组织间的业务流程重组是目前业务流程重组的最高层次,也是重组的最终目标。这类业务流程重组是目前业务流程重组的最高层次</w:t>
      </w:r>
      <w:r>
        <w:rPr>
          <w:rFonts w:hint="eastAsia" w:ascii="宋体" w:hAnsi="宋体" w:eastAsia="宋体" w:cs="宋体"/>
          <w:b/>
          <w:bCs/>
          <w:sz w:val="24"/>
          <w:szCs w:val="24"/>
        </w:rPr>
        <w:t>。</w:t>
      </w:r>
    </w:p>
    <w:p>
      <w:pPr>
        <w:autoSpaceDE w:val="0"/>
        <w:autoSpaceDN w:val="0"/>
        <w:adjustRightInd w:val="0"/>
        <w:snapToGrid w:val="0"/>
        <w:spacing w:line="360" w:lineRule="auto"/>
        <w:ind w:firstLine="480" w:firstLineChars="200"/>
        <w:jc w:val="left"/>
        <w:rPr>
          <w:rFonts w:ascii="宋体" w:hAnsi="宋体" w:eastAsia="宋体" w:cs="宋体"/>
          <w:b/>
          <w:bCs/>
          <w:sz w:val="24"/>
          <w:szCs w:val="24"/>
        </w:rPr>
      </w:pPr>
      <w:r>
        <w:rPr>
          <w:rFonts w:hint="eastAsia" w:ascii="宋体" w:hAnsi="宋体" w:eastAsia="宋体" w:cs="宋体"/>
          <w:b/>
          <w:bCs/>
          <w:sz w:val="24"/>
          <w:szCs w:val="24"/>
        </w:rPr>
        <w:t>业务流程重组理论发展趋势</w:t>
      </w:r>
    </w:p>
    <w:p>
      <w:pPr>
        <w:autoSpaceDE w:val="0"/>
        <w:autoSpaceDN w:val="0"/>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近年来业务流程重组理论发展呈现以下趋势：</w:t>
      </w:r>
    </w:p>
    <w:p>
      <w:pPr>
        <w:autoSpaceDE w:val="0"/>
        <w:autoSpaceDN w:val="0"/>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w:t>
      </w:r>
      <w:bookmarkStart w:id="38" w:name="_Hlk34302933"/>
      <w:r>
        <w:rPr>
          <w:rFonts w:hint="eastAsia" w:ascii="宋体" w:hAnsi="宋体" w:eastAsia="宋体" w:cs="宋体"/>
          <w:b/>
          <w:bCs/>
          <w:sz w:val="24"/>
          <w:szCs w:val="24"/>
        </w:rPr>
        <w:t>BPR</w:t>
      </w:r>
      <w:bookmarkEnd w:id="38"/>
      <w:r>
        <w:rPr>
          <w:rFonts w:hint="eastAsia" w:ascii="宋体" w:hAnsi="宋体" w:eastAsia="宋体" w:cs="宋体"/>
          <w:b/>
          <w:bCs/>
          <w:sz w:val="24"/>
          <w:szCs w:val="24"/>
        </w:rPr>
        <w:t>有向业务流程管理( Business process management BPM)理论方向发展</w:t>
      </w:r>
    </w:p>
    <w:p>
      <w:pPr>
        <w:autoSpaceDE w:val="0"/>
        <w:autoSpaceDN w:val="0"/>
        <w:adjustRightInd w:val="0"/>
        <w:snapToGrid w:val="0"/>
        <w:spacing w:line="360" w:lineRule="auto"/>
        <w:ind w:firstLine="480" w:firstLineChars="200"/>
        <w:jc w:val="left"/>
        <w:rPr>
          <w:rFonts w:ascii="宋体" w:hAnsi="宋体" w:eastAsia="宋体" w:cs="宋体"/>
          <w:b/>
          <w:bCs/>
          <w:sz w:val="24"/>
          <w:szCs w:val="24"/>
        </w:rPr>
      </w:pPr>
      <w:r>
        <w:rPr>
          <w:rFonts w:hint="eastAsia" w:ascii="宋体" w:hAnsi="宋体" w:eastAsia="宋体" w:cs="宋体"/>
          <w:sz w:val="24"/>
          <w:szCs w:val="24"/>
        </w:rPr>
        <w:t>业务流程管理是一个比业务流程重组外延更大的概念，它不仅包含业务流程重组的全部内容，还对业务流程重组理论进行丰富和发展。这种理论认为企业的业务流程具有生命周期，并将其分为识别需求、设计流程、执行并优化流程重组四个阶段。企业业务流程生命周期的第一阶段是识别需求，必须清晰地定义客户的需求，由此开始企业基本流程的策划。业务流程生命周期的第二阶段是企业依据自身的资源，设计实际运行的企业业务流程。业务流程生命周期的第三阶段是严格执行流程，进行流程优化，实施流程管理。业务流程生命周期的第四阶段是流程重组，当顾客需求发生变化，或者企业自身的资源配置发生根本变化时，原有流程已经不适用，企业必须进行流程重组。</w:t>
      </w:r>
    </w:p>
    <w:p>
      <w:pPr>
        <w:autoSpaceDE w:val="0"/>
        <w:autoSpaceDN w:val="0"/>
        <w:adjustRightInd w:val="0"/>
        <w:snapToGrid w:val="0"/>
        <w:spacing w:line="360" w:lineRule="auto"/>
        <w:ind w:firstLine="480" w:firstLineChars="200"/>
        <w:jc w:val="left"/>
        <w:rPr>
          <w:rFonts w:ascii="宋体" w:hAnsi="宋体" w:eastAsia="宋体" w:cs="宋体"/>
          <w:b/>
          <w:bCs/>
          <w:sz w:val="24"/>
          <w:szCs w:val="24"/>
        </w:rPr>
      </w:pPr>
      <w:r>
        <w:rPr>
          <w:rFonts w:hint="eastAsia" w:ascii="宋体" w:hAnsi="宋体" w:eastAsia="宋体" w:cs="宋体"/>
          <w:b/>
          <w:bCs/>
          <w:sz w:val="24"/>
          <w:szCs w:val="24"/>
        </w:rPr>
        <w:t>（2）BPR理论的研究与组织变革理论相融合方向发展</w:t>
      </w:r>
    </w:p>
    <w:p>
      <w:pPr>
        <w:autoSpaceDE w:val="0"/>
        <w:autoSpaceDN w:val="0"/>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组织变革理论的主要内容包括：为了实现企业的经营目标，有效地开展各种经营管理活动、建立一个良好的组织并使之有效运转是不可或缺的根本前提条件之一。在某种意义上说，组织既是一种结构，又是一种实现管理目的的工具和载体;既是一种合作的系统，又是一种配置资源并进行动作的过程。组织变革理论是组织理论的重要组成部分，它伴随着组织理论的发展而不断完善，经历了一个相对独立的发展过程。组织变革理论揭示了这样一个事实：为适应激烈和复杂的竞争，企业必须实行组织变革。企业实施业务流程重组必涉及企业内部的组织变革。理解组织变革与流程重组之间的关系，正确认识组织变革对业务流程重组的作用，对于保证业务流程重组的成功具有重要作用。</w:t>
      </w:r>
      <w:bookmarkStart w:id="39" w:name="_Hlk34313247"/>
      <w:r>
        <w:rPr>
          <w:rFonts w:hint="eastAsia" w:ascii="宋体" w:hAnsi="宋体" w:eastAsia="宋体" w:cs="宋体"/>
          <w:sz w:val="24"/>
          <w:szCs w:val="24"/>
        </w:rPr>
        <w:t>业务流程重组</w:t>
      </w:r>
      <w:bookmarkEnd w:id="39"/>
      <w:r>
        <w:rPr>
          <w:rFonts w:hint="eastAsia" w:ascii="宋体" w:hAnsi="宋体" w:eastAsia="宋体" w:cs="宋体"/>
          <w:sz w:val="24"/>
          <w:szCs w:val="24"/>
        </w:rPr>
        <w:t>理论与组织变革理论的融合使业务流程重组理论更加趋于完善。</w:t>
      </w:r>
    </w:p>
    <w:p>
      <w:pPr>
        <w:autoSpaceDE w:val="0"/>
        <w:autoSpaceDN w:val="0"/>
        <w:adjustRightInd w:val="0"/>
        <w:spacing w:line="360" w:lineRule="auto"/>
        <w:ind w:firstLine="480" w:firstLineChars="200"/>
        <w:jc w:val="left"/>
        <w:outlineLvl w:val="2"/>
        <w:rPr>
          <w:rFonts w:ascii="宋体" w:hAnsi="宋体" w:eastAsia="宋体" w:cs="宋体"/>
          <w:b/>
          <w:bCs/>
          <w:kern w:val="0"/>
          <w:sz w:val="24"/>
          <w:szCs w:val="24"/>
        </w:rPr>
      </w:pPr>
      <w:bookmarkStart w:id="40" w:name="_Toc3003"/>
      <w:bookmarkStart w:id="41" w:name="_Toc3329"/>
      <w:bookmarkStart w:id="42" w:name="_Toc23007"/>
      <w:bookmarkStart w:id="43" w:name="_Toc31072"/>
      <w:bookmarkStart w:id="44" w:name="_Toc16640"/>
      <w:r>
        <w:rPr>
          <w:rFonts w:hint="eastAsia" w:ascii="宋体" w:hAnsi="宋体" w:eastAsia="宋体" w:cs="宋体"/>
          <w:b/>
          <w:bCs/>
          <w:kern w:val="0"/>
          <w:sz w:val="24"/>
          <w:szCs w:val="24"/>
        </w:rPr>
        <w:t>2.1.4 本研究相关概念及外延界定</w:t>
      </w:r>
      <w:bookmarkEnd w:id="40"/>
      <w:bookmarkEnd w:id="41"/>
      <w:bookmarkEnd w:id="42"/>
      <w:bookmarkEnd w:id="43"/>
      <w:bookmarkEnd w:id="44"/>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图书馆业务布局重组，主要是指图书馆业务流程的重组及架构。</w:t>
      </w:r>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“流程（</w:t>
      </w:r>
      <w:r>
        <w:rPr>
          <w:rFonts w:hint="eastAsia" w:ascii="宋体" w:hAnsi="宋体" w:eastAsia="宋体" w:cs="宋体"/>
          <w:color w:val="333333"/>
          <w:sz w:val="24"/>
          <w:szCs w:val="24"/>
          <w:shd w:val="clear" w:color="auto" w:fill="FFFFFF"/>
        </w:rPr>
        <w:t>Process)</w:t>
      </w:r>
      <w:r>
        <w:rPr>
          <w:rFonts w:hint="eastAsia" w:ascii="宋体" w:hAnsi="宋体" w:eastAsia="宋体" w:cs="宋体"/>
          <w:kern w:val="0"/>
          <w:sz w:val="24"/>
          <w:szCs w:val="24"/>
        </w:rPr>
        <w:t>”一词在《现代汉语词典》(第7版)中的解释有为水流的路程或工艺业务布局的简称。在《牛津英语大词典》中“业务布局”的定义为一个或一系列连续有规律的行动，这些行动以确定的方式发生或执行，导致特定结果的实现—一个或一系列连续的操作。业务布局实质上就是一个将输入转换为输出的相互关联或相互作用活动的集合。业务布局重组也可理解为业务业务布局的重新设计。</w:t>
      </w:r>
    </w:p>
    <w:p>
      <w:pPr>
        <w:autoSpaceDE w:val="0"/>
        <w:autoSpaceDN w:val="0"/>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kern w:val="0"/>
          <w:sz w:val="24"/>
          <w:szCs w:val="24"/>
        </w:rPr>
        <w:t>业务布局</w:t>
      </w:r>
      <w:r>
        <w:rPr>
          <w:rFonts w:hint="eastAsia" w:ascii="宋体" w:hAnsi="宋体" w:eastAsia="宋体" w:cs="宋体"/>
          <w:color w:val="333333"/>
          <w:sz w:val="24"/>
          <w:szCs w:val="24"/>
          <w:shd w:val="clear" w:color="auto" w:fill="FFFFFF"/>
        </w:rPr>
        <w:t>(Business Process)</w:t>
      </w:r>
      <w:r>
        <w:rPr>
          <w:rFonts w:hint="eastAsia" w:ascii="宋体" w:hAnsi="宋体" w:eastAsia="宋体" w:cs="宋体"/>
          <w:kern w:val="0"/>
          <w:sz w:val="24"/>
          <w:szCs w:val="24"/>
        </w:rPr>
        <w:t>使用的范围很广，最早使用于制造业，用于指导生产。许多学者给出其定义，业务布局管理联盟认为，业务布局就是企业为完成某一目标(或任务)而进行的一系列逻辑相关的活动的有序集合，一个业务布局包括一组任务(或活动)及它们的相互顺序关系，还包括业务布局及任务(或活动)的启动和终止条件，以及对每个任务(或活动)的描述。美国管理学家迈克尔·哈默(Michael Hammer)与</w:t>
      </w:r>
      <w:bookmarkStart w:id="45" w:name="_Hlk34167496"/>
      <w:r>
        <w:rPr>
          <w:rFonts w:hint="eastAsia" w:ascii="宋体" w:hAnsi="宋体" w:eastAsia="宋体" w:cs="宋体"/>
          <w:kern w:val="0"/>
          <w:sz w:val="24"/>
          <w:szCs w:val="24"/>
        </w:rPr>
        <w:t>詹姆斯·钱皮(James A．Champy)</w:t>
      </w:r>
      <w:bookmarkEnd w:id="45"/>
      <w:r>
        <w:rPr>
          <w:rFonts w:hint="eastAsia" w:ascii="宋体" w:hAnsi="宋体" w:eastAsia="宋体" w:cs="宋体"/>
          <w:kern w:val="0"/>
          <w:sz w:val="24"/>
          <w:szCs w:val="24"/>
        </w:rPr>
        <w:t>定义某一组活动为一个业务布局，这组活动有一个或多个输入，输出一个或多个结果，这些结果对客户来说是一种增值。ISO9000：业务布局是一组将输入转化为输出的相互关联。业务布局有两个重要因素：一个是价值，业务布局是创造价值的相互关联的活动，业务布局资金决定着实际运行效率：另外一个客户，好的业务布局应该以客户为主体。</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xml:space="preserve">业务布局有如下特点： </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bookmarkStart w:id="46" w:name="_Hlk34066026"/>
      <w:r>
        <w:rPr>
          <w:rFonts w:hint="eastAsia" w:ascii="宋体" w:hAnsi="宋体" w:eastAsia="宋体" w:cs="宋体"/>
          <w:kern w:val="0"/>
          <w:sz w:val="24"/>
          <w:szCs w:val="24"/>
        </w:rPr>
        <w:t>（1）</w:t>
      </w:r>
      <w:bookmarkEnd w:id="46"/>
      <w:r>
        <w:rPr>
          <w:rFonts w:hint="eastAsia" w:ascii="宋体" w:hAnsi="宋体" w:eastAsia="宋体" w:cs="宋体"/>
          <w:kern w:val="0"/>
          <w:sz w:val="24"/>
          <w:szCs w:val="24"/>
        </w:rPr>
        <w:t>目的性：有明确的输出目标或任务，这个目的可以是一次满意的客户服务，也可以使是一次及时的产品送达等等。</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（2）规律性：业务布局的基本元素是一系列有规律的动作或活动。</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xml:space="preserve">（3）整体性：至少有两个活动组成。才能建立结构或者关系，才能进行流转。 </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（4）命令性：从一个活动到另一个活动，按照一定的时序关系展开，执行的过程有所规定。</w:t>
      </w:r>
      <w:bookmarkStart w:id="47" w:name="_Hlk34065880"/>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（5）层次性：业务布局是一个嵌套的概念，业务布局中若干活动可看作是“子业务布局”，可继续分解若干活动。</w:t>
      </w:r>
    </w:p>
    <w:p>
      <w:pPr>
        <w:autoSpaceDE w:val="0"/>
        <w:autoSpaceDN w:val="0"/>
        <w:adjustRightInd w:val="0"/>
        <w:snapToGri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（6）价值性：业务布局是创造价值的相互关联活动，是一系列创造价值的活动的组合。</w:t>
      </w:r>
      <w:bookmarkEnd w:id="47"/>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图书馆业务布局指一组相互关联而共同为读者创造价值的信息活动。图书馆的所有管理及开展的各项业务活动均是由各种 业务布局组成的，目标是读者获取信息产品或服务。</w:t>
      </w:r>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sz w:val="24"/>
          <w:szCs w:val="24"/>
        </w:rPr>
        <w:t>在管理学中，业务布局重组多用于企业，</w:t>
      </w:r>
      <w:r>
        <w:rPr>
          <w:rFonts w:hint="eastAsia" w:ascii="宋体" w:hAnsi="宋体" w:eastAsia="宋体" w:cs="宋体"/>
          <w:kern w:val="0"/>
          <w:sz w:val="24"/>
          <w:szCs w:val="24"/>
        </w:rPr>
        <w:t>本研究引用和导入这一名词，意指在当前社会环境和信息技术条件下，对高校图书馆的管理理念、各种资源配置、组织机构的设置、服务方式、服务内容等重组进行研究，为图书馆实现以用户和服务为中心的业务布局与结构调整提供参考和思路，以期促进图书馆服务理念提升，实现图书馆管理转型。</w:t>
      </w:r>
    </w:p>
    <w:p>
      <w:pPr>
        <w:autoSpaceDE w:val="0"/>
        <w:autoSpaceDN w:val="0"/>
        <w:adjustRightInd w:val="0"/>
        <w:spacing w:line="360" w:lineRule="auto"/>
        <w:ind w:firstLine="480" w:firstLineChars="200"/>
        <w:jc w:val="left"/>
        <w:outlineLvl w:val="1"/>
        <w:rPr>
          <w:rFonts w:ascii="宋体" w:hAnsi="宋体" w:eastAsia="宋体" w:cs="宋体"/>
          <w:b/>
          <w:bCs/>
          <w:kern w:val="0"/>
          <w:sz w:val="24"/>
          <w:szCs w:val="24"/>
        </w:rPr>
      </w:pPr>
      <w:bookmarkStart w:id="48" w:name="_Toc3688"/>
      <w:bookmarkStart w:id="49" w:name="_Toc18217"/>
      <w:bookmarkStart w:id="50" w:name="_Toc3478"/>
      <w:bookmarkStart w:id="51" w:name="_Toc3389"/>
      <w:bookmarkStart w:id="52" w:name="_Toc27939"/>
      <w:r>
        <w:rPr>
          <w:rFonts w:hint="eastAsia" w:ascii="宋体" w:hAnsi="宋体" w:eastAsia="宋体" w:cs="宋体"/>
          <w:b/>
          <w:bCs/>
          <w:kern w:val="0"/>
          <w:sz w:val="24"/>
          <w:szCs w:val="24"/>
        </w:rPr>
        <w:t>2.2 研究方法</w:t>
      </w:r>
      <w:bookmarkEnd w:id="48"/>
      <w:bookmarkEnd w:id="49"/>
      <w:bookmarkEnd w:id="50"/>
      <w:bookmarkEnd w:id="51"/>
      <w:bookmarkEnd w:id="52"/>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（1）文献研究法：利用图书馆CNKI、超星知识发现系统、EBSCO 数据库和网络搜索国内外与课题研究相关的资料,并进行梳理分析，为本研究提供理论依据和参考。</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（2）调查法：对不同高校图书馆业务布局现状、组织机构等进行调查，对比分析归纳它们之间的异同点，整体把握我国高校图书馆业务布局的状况。</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（3）跨学科研究法：借鉴管理学和组织行为学中的相关理论和应用对本课题进行研究。</w:t>
      </w:r>
    </w:p>
    <w:p>
      <w:pPr>
        <w:spacing w:line="360" w:lineRule="auto"/>
        <w:ind w:firstLine="480" w:firstLineChars="200"/>
        <w:outlineLvl w:val="1"/>
        <w:rPr>
          <w:rFonts w:ascii="宋体" w:hAnsi="宋体" w:eastAsia="宋体" w:cs="宋体"/>
          <w:b/>
          <w:bCs/>
          <w:sz w:val="24"/>
          <w:szCs w:val="24"/>
        </w:rPr>
      </w:pPr>
      <w:bookmarkStart w:id="53" w:name="_Toc23726"/>
      <w:bookmarkStart w:id="54" w:name="_Toc26200"/>
      <w:r>
        <w:rPr>
          <w:rFonts w:hint="eastAsia" w:ascii="宋体" w:hAnsi="宋体" w:eastAsia="宋体" w:cs="宋体"/>
          <w:b/>
          <w:bCs/>
          <w:sz w:val="24"/>
          <w:szCs w:val="24"/>
        </w:rPr>
        <w:t>2.3 研究内容</w:t>
      </w:r>
      <w:bookmarkEnd w:id="53"/>
      <w:bookmarkEnd w:id="54"/>
    </w:p>
    <w:p>
      <w:pPr>
        <w:autoSpaceDE w:val="0"/>
        <w:autoSpaceDN w:val="0"/>
        <w:adjustRightInd w:val="0"/>
        <w:spacing w:line="360" w:lineRule="auto"/>
        <w:ind w:firstLine="480" w:firstLineChars="200"/>
        <w:jc w:val="left"/>
        <w:outlineLvl w:val="2"/>
        <w:rPr>
          <w:rFonts w:ascii="宋体" w:hAnsi="宋体" w:eastAsia="宋体" w:cs="宋体"/>
          <w:kern w:val="0"/>
          <w:sz w:val="24"/>
          <w:szCs w:val="24"/>
        </w:rPr>
      </w:pPr>
      <w:bookmarkStart w:id="55" w:name="_Toc10133"/>
      <w:bookmarkStart w:id="56" w:name="_Toc268"/>
      <w:bookmarkStart w:id="57" w:name="_Toc3205"/>
      <w:bookmarkStart w:id="58" w:name="_Toc15072"/>
      <w:bookmarkStart w:id="59" w:name="_Toc28555"/>
      <w:r>
        <w:rPr>
          <w:rFonts w:hint="eastAsia" w:ascii="宋体" w:hAnsi="宋体" w:eastAsia="宋体" w:cs="宋体"/>
          <w:b/>
          <w:bCs/>
          <w:sz w:val="24"/>
          <w:szCs w:val="24"/>
        </w:rPr>
        <w:t xml:space="preserve">2.3.1 </w:t>
      </w:r>
      <w:r>
        <w:rPr>
          <w:rFonts w:hint="eastAsia" w:ascii="宋体" w:hAnsi="宋体" w:eastAsia="宋体" w:cs="宋体"/>
          <w:b/>
          <w:bCs/>
          <w:kern w:val="0"/>
          <w:sz w:val="24"/>
          <w:szCs w:val="24"/>
        </w:rPr>
        <w:t>图书馆业务布局重组内涵</w:t>
      </w:r>
      <w:bookmarkEnd w:id="55"/>
      <w:bookmarkEnd w:id="56"/>
      <w:bookmarkEnd w:id="57"/>
      <w:bookmarkEnd w:id="58"/>
      <w:bookmarkEnd w:id="59"/>
    </w:p>
    <w:p>
      <w:pPr>
        <w:pStyle w:val="24"/>
        <w:autoSpaceDE w:val="0"/>
        <w:autoSpaceDN w:val="0"/>
        <w:adjustRightInd w:val="0"/>
        <w:spacing w:line="360" w:lineRule="auto"/>
        <w:ind w:left="420" w:leftChars="200" w:firstLine="0" w:firstLineChars="0"/>
        <w:jc w:val="left"/>
        <w:rPr>
          <w:rFonts w:ascii="宋体" w:hAnsi="宋体" w:eastAsia="宋体" w:cs="宋体"/>
          <w:b/>
          <w:bCs/>
          <w:kern w:val="0"/>
          <w:sz w:val="24"/>
          <w:szCs w:val="24"/>
        </w:rPr>
      </w:pPr>
      <w:bookmarkStart w:id="60" w:name="_Toc19767"/>
      <w:bookmarkStart w:id="61" w:name="_Toc10841"/>
      <w:bookmarkStart w:id="62" w:name="_Toc5598"/>
      <w:r>
        <w:rPr>
          <w:rFonts w:hint="eastAsia" w:ascii="宋体" w:hAnsi="宋体" w:eastAsia="宋体" w:cs="宋体"/>
          <w:b/>
          <w:bCs/>
          <w:kern w:val="0"/>
          <w:sz w:val="24"/>
          <w:szCs w:val="24"/>
        </w:rPr>
        <w:t>（1）战略化</w:t>
      </w:r>
      <w:bookmarkEnd w:id="60"/>
      <w:bookmarkEnd w:id="61"/>
      <w:bookmarkEnd w:id="62"/>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战略( strategy)是为实现组织的长远目标所选择的发展方向、所确定的行动方针以及资源分配方针和资源分配方案的一个总纲，也可理解为对组织的基本性质和发展的总方向的一种规定</w:t>
      </w:r>
      <w:r>
        <w:rPr>
          <w:rFonts w:hint="eastAsia" w:ascii="宋体" w:hAnsi="宋体" w:eastAsia="宋体" w:cs="宋体"/>
          <w:b/>
          <w:bCs/>
          <w:kern w:val="0"/>
          <w:sz w:val="24"/>
          <w:szCs w:val="24"/>
        </w:rPr>
        <w:t>，</w:t>
      </w:r>
      <w:r>
        <w:rPr>
          <w:rFonts w:hint="eastAsia" w:ascii="宋体" w:hAnsi="宋体" w:eastAsia="宋体" w:cs="宋体"/>
          <w:kern w:val="0"/>
          <w:sz w:val="24"/>
          <w:szCs w:val="24"/>
        </w:rPr>
        <w:t>是进行重组的顶层设计。彼得·德鲁克指出,一个企业不是由它的字、章程和公司条例来定义,而是由它的任务来定义的,企业只有具备了明确的任务和目的可能制定明确和现实的企业目标”。图书馆发展战略决定了其价值实现方式，具体业务布局则是价值实现的动态表现形式。战略的具体实施，需通过业务布局运作得到贯彻。</w:t>
      </w:r>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业务布局重组首先需要清楚由谁来进行业务布局重组,以及如何进行业务布局重组，重组不是自发或自下而上的过程,而是一个自上而下的过程,是一个涉及多项业务活动的综合性进行的战略过程。现代组织理论把着眼点由组织内部转移到环境,并由组织被动适应环境的观点转变到影响环境。为确保业务布局重组有序科学进行,高层管理者至关重要的，在战略层面上，图书馆馆领导层的眼界、观念、魄力等对业务布局重组的顺利构建起着至关重要的作用，不同的战略会有不同的期望效果。</w:t>
      </w:r>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业务重组首先要根据图书馆战略任务进行调研，某些业务布局不合理或不健全,需进行调整,弱化、取消或者强化，明确其中的关键业务活动,并将这些业务层层分解,确定各项具体的业务活动内容和工作，包括三方面内容：</w:t>
      </w:r>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基本业务活动设计,以国内外先进的图书馆业务活动作为参考,根据组织设计的有关权变因素,如环境、战略、规模等特点加以调整,确定本馆应具备的基本职能实现业务活动。</w:t>
      </w:r>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关键业务活动设计,提高图书馆的效能。根据图书馆的目标和战略,在基本业务活动中找出一两个对实现本馆战略起关键作用的业务活动,以便在流程设计中突出关键业务的作用,将其置于图书馆组织框架的中心地位,保证关键业务活动对本馆战略的促进作用。</w:t>
      </w:r>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业务活动分解,将确定的关键业务活动逐步细化为二级活动、三级活动等,为各个管理层次、部门、管理职务及岗位规定相应的业务范围。在职能分解过程中,要注意确定各职能实现及业务活动之间的分工、联系和制约的关系,避免职能重叠和脱节。按照一定的方式,遵循一定的指导原则,将实现图书馆任务所需开展的各种各样的业务加以科学分类和合理组合,确图书馆业务部门的设置及其职权配置。</w:t>
      </w:r>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根据实际确定图书馆组织发展目标,把流程过程重组方法与组织的目标联系起来,用战略目标引导业务布局重组的进行，使业务布局重组与组织与预定的战略方向相吻合，当然随着社会的发展,有些流程可能会偏离目标,需通过再确认,使之重新回到正确目标。确认可能受到战略影响的业务布局。比如图书馆决定增加“科研数据服务”的战略时,受影响的业务布局有数据收集、存储和数据信息分析利用等。注重沟通，要了解每一业务布局中所涉及的人员,确定业务布局重组的总负责人，成立重组工作组，每项业务参与者画出自己现在工作过程的流程图，一方面,可以使他们能更好地考虑业务流程的整体需求;另一方面,使工作组明确了解每个参与者对业务的理解和他们业务专长，塑造组织中有共同价值观的人,不拘一格发挥个人创造精神，提高图书馆馆员自觉提升业务能力和服务水平的意识。设计业务流程图和组织结构图。新方式、新观念需要相应先进的组织结构和管理模式,合理的组织结构与管理模式同先进的技术具有同样重要的地位。</w:t>
      </w:r>
    </w:p>
    <w:p>
      <w:pPr>
        <w:autoSpaceDE w:val="0"/>
        <w:autoSpaceDN w:val="0"/>
        <w:adjustRightInd w:val="0"/>
        <w:spacing w:line="360" w:lineRule="auto"/>
        <w:ind w:firstLine="480" w:firstLineChars="200"/>
        <w:jc w:val="left"/>
        <w:rPr>
          <w:rFonts w:ascii="宋体" w:hAnsi="宋体" w:eastAsia="宋体" w:cs="宋体"/>
          <w:kern w:val="0"/>
          <w:sz w:val="24"/>
          <w:szCs w:val="24"/>
        </w:rPr>
      </w:pPr>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xml:space="preserve">                     </w:t>
      </w:r>
      <w:r>
        <w:rPr>
          <w:rFonts w:hint="eastAsia" w:ascii="宋体" w:hAnsi="宋体" w:eastAsia="宋体" w:cs="宋体"/>
        </w:rPr>
        <w:drawing>
          <wp:inline distT="0" distB="0" distL="114300" distR="114300">
            <wp:extent cx="4402455" cy="3646170"/>
            <wp:effectExtent l="12700" t="12700" r="23495" b="1778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cstate="print"/>
                    <a:stretch>
                      <a:fillRect/>
                    </a:stretch>
                  </pic:blipFill>
                  <pic:spPr>
                    <a:xfrm>
                      <a:off x="0" y="0"/>
                      <a:ext cx="4402455" cy="3646170"/>
                    </a:xfrm>
                    <a:prstGeom prst="rect">
                      <a:avLst/>
                    </a:prstGeom>
                    <a:noFill/>
                    <a:ln w="12700" cmpd="sng">
                      <a:solidFill>
                        <a:schemeClr val="accent1">
                          <a:shade val="50000"/>
                        </a:schemeClr>
                      </a:solidFill>
                      <a:prstDash val="solid"/>
                    </a:ln>
                  </pic:spPr>
                </pic:pic>
              </a:graphicData>
            </a:graphic>
          </wp:inline>
        </w:drawing>
      </w:r>
    </w:p>
    <w:p>
      <w:pPr>
        <w:autoSpaceDE w:val="0"/>
        <w:autoSpaceDN w:val="0"/>
        <w:adjustRightInd w:val="0"/>
        <w:spacing w:line="360" w:lineRule="auto"/>
        <w:jc w:val="center"/>
        <w:rPr>
          <w:rFonts w:ascii="宋体" w:hAnsi="宋体" w:eastAsia="宋体" w:cs="宋体"/>
          <w:b/>
          <w:bCs/>
          <w:kern w:val="0"/>
          <w:sz w:val="24"/>
          <w:szCs w:val="24"/>
        </w:rPr>
      </w:pPr>
      <w:r>
        <w:rPr>
          <w:rFonts w:hint="eastAsia" w:ascii="宋体" w:hAnsi="宋体" w:eastAsia="宋体" w:cs="宋体"/>
          <w:b/>
          <w:bCs/>
          <w:kern w:val="0"/>
          <w:sz w:val="24"/>
          <w:szCs w:val="24"/>
        </w:rPr>
        <w:t>图1：业务布局重组步骤</w:t>
      </w:r>
    </w:p>
    <w:p>
      <w:pPr>
        <w:autoSpaceDE w:val="0"/>
        <w:autoSpaceDN w:val="0"/>
        <w:adjustRightInd w:val="0"/>
        <w:spacing w:line="360" w:lineRule="auto"/>
        <w:ind w:firstLine="480" w:firstLineChars="200"/>
        <w:jc w:val="left"/>
        <w:rPr>
          <w:rFonts w:ascii="宋体" w:hAnsi="宋体" w:eastAsia="宋体" w:cs="宋体"/>
          <w:b/>
          <w:bCs/>
          <w:kern w:val="0"/>
          <w:sz w:val="24"/>
          <w:szCs w:val="24"/>
        </w:rPr>
      </w:pPr>
    </w:p>
    <w:p>
      <w:pPr>
        <w:autoSpaceDE w:val="0"/>
        <w:autoSpaceDN w:val="0"/>
        <w:adjustRightInd w:val="0"/>
        <w:spacing w:line="360" w:lineRule="auto"/>
        <w:ind w:firstLine="480" w:firstLineChars="200"/>
        <w:jc w:val="left"/>
        <w:rPr>
          <w:rFonts w:ascii="宋体" w:hAnsi="宋体" w:eastAsia="宋体" w:cs="宋体"/>
          <w:b/>
          <w:bCs/>
          <w:kern w:val="0"/>
          <w:sz w:val="24"/>
          <w:szCs w:val="24"/>
        </w:rPr>
      </w:pPr>
      <w:bookmarkStart w:id="63" w:name="_Toc17381"/>
      <w:bookmarkStart w:id="64" w:name="_Toc29129"/>
      <w:bookmarkStart w:id="65" w:name="_Toc15815"/>
      <w:r>
        <w:rPr>
          <w:rFonts w:hint="eastAsia" w:ascii="宋体" w:hAnsi="宋体" w:eastAsia="宋体" w:cs="宋体"/>
          <w:b/>
          <w:bCs/>
          <w:kern w:val="0"/>
          <w:sz w:val="24"/>
          <w:szCs w:val="24"/>
        </w:rPr>
        <w:t>（2）信息化</w:t>
      </w:r>
      <w:bookmarkEnd w:id="63"/>
      <w:bookmarkEnd w:id="64"/>
      <w:bookmarkEnd w:id="65"/>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我国信息化领导小组认为“图书馆信息化是以信息技术在图书馆中的广泛应用为主导,以信息资源建设为核心,以网络为信息传输基础,以信息人才为依托,以法规、政策、标准为保障的综合体系”。信息及网络技术的广泛应用已成为改变整个人类社会行为方式、交往方式甚至思维方式的不可抗拒的力量，业务布局重组与信息技术的有机结合,已成为当代组织变革重组的一种主要方式。业务操作和管理自动化，业务布局无缝化，信息资源存储数字化，信息资源共享化是图书馆信息化基本特征。</w:t>
      </w:r>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计算机技术、通讯技术、物联网+、云技术、人工智能和大数据等各种新技术的发展和应用，为图书馆业务活动开展，满足读者信息需求提供了广阔的空间。纵观目前图书馆信息化状况，图书馆基本都实现了利用计算机管理文献，当然管理的馆藏文献数量和载体类型可能还有所限制，但图书馆内部管理信息化并没有实质性的改变，有的图书馆在主页中也揭示了图书馆的愿景、任务、目标、服务观念等，但似乎都是给读者看的，图书馆成员之间还不能够充分地了解各自工作内容、工作需求、工作进展及工作效率等，图书馆业务活动信息化平台未得到充分开发与利用。</w:t>
      </w:r>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信息化是图书馆获得生存与发展权的个基本条件，是提升图书馆核心竞争力、加强图书馆内部管理的根本出路。信息技术采用是图书馆业务布局获得根本改变的一个关键手段，只有将信息技术与业务布局重组有机结合起来, 才能真正实现图书馆业务布局与服务管理模式的彻底再造,构建适应网络环境的新型流程，极大地改善图书馆的服务状况。</w:t>
      </w:r>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图书馆信息化为图书馆整体战略目标服务,图书馆信息化不是用计算机简单地代替现有管理方式,是对现有业务布局模式进行整合和变革，实现信息的连续传输和共享，增进工作人员彼此的沟通、了解和协调，提高工作质量和效率。</w:t>
      </w:r>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信息技术与业务布局重组的有机结合,有两种模式:一是在考虑信息技术应用的前提下,以业务布局重组的结果为基础,进行全新的管理信息系统设计与开发;二是结合图书馆的自身条件,选择合适的商用套装管理软件,以套装软件的标准功能为基础,加上适当的二次开发,对图书馆的业务布局进行系统的改造与优化。我国的图书馆自动化应用软件经过二十多年的发展,已由实验开发阶段发展到集成化阶段,现今已进入到集成化向网络化发展的初步阶段。传统的图书馆管理软件以采、编、流、检作为软件设计的基本模式,通过各模块之间的有机合作来体现图书馆读者服务的社会角色。随着时间的推移和技术的进步,这一模式越来越演化为信息化整体的一个局部。办公自动化、全文检索、数据库服务、网上读书、远程教学、在线交流、视频点播等等,图书馆无论是服务方式还是角色定位,都越来越社会化和公众化。换言之图书馆管理软件除了要保留并扩展、加强原有的功能外,还要通过增强网络信息咨询和信息检索功能来体现图书馆信息化的社会价值。</w:t>
      </w:r>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美国学者贝克(S.K. Baker)在《资源共享的未来》一书的前言中写到:“今天的图书馆正生存在一个相互依赖的时代。进一步讲,每一个图书馆都必须将自己视为世界图书馆体系的部分,必须摆脱自给自足的状态,必须找到快速地从世界图书馆体系中获取资料并送到自己用户手中的方式,必须随时准备将自己所收藏的资料提供给世界各地的其他图书馆。”图书馆信息化不仅是一个单纯的技术问题和纯粹的管理创新,而是一种思维方式、行为方式的根本性转变,是先进管理思想与现代管理技术的有机结合。图书馆为实现业务布局重组预期的管理变革效果,必须正确认识信息技术在解决图书馆管理问题方面的特殊地位与作用,处理好业务布局重组与流程管理信息化、智能化之间的关系。业务布局重组与信息技术的有机结合,要着眼于如何面对信息时代的竞争与挑战,从提高图书馆的管理水平与核心竞争力战略角度出发。</w:t>
      </w:r>
    </w:p>
    <w:p>
      <w:pPr>
        <w:autoSpaceDE w:val="0"/>
        <w:autoSpaceDN w:val="0"/>
        <w:adjustRightInd w:val="0"/>
        <w:spacing w:line="360" w:lineRule="auto"/>
        <w:ind w:firstLine="240" w:firstLineChars="100"/>
        <w:jc w:val="left"/>
        <w:rPr>
          <w:rFonts w:ascii="宋体" w:hAnsi="宋体" w:eastAsia="宋体" w:cs="宋体"/>
          <w:b/>
          <w:bCs/>
          <w:color w:val="333333"/>
          <w:kern w:val="0"/>
          <w:sz w:val="24"/>
          <w:szCs w:val="24"/>
        </w:rPr>
      </w:pPr>
      <w:bookmarkStart w:id="66" w:name="_Toc26850"/>
      <w:bookmarkStart w:id="67" w:name="_Toc7399"/>
      <w:bookmarkStart w:id="68" w:name="_Toc6286"/>
      <w:r>
        <w:rPr>
          <w:rFonts w:hint="eastAsia" w:ascii="宋体" w:hAnsi="宋体" w:eastAsia="宋体" w:cs="宋体"/>
          <w:b/>
          <w:bCs/>
          <w:kern w:val="0"/>
          <w:sz w:val="24"/>
          <w:szCs w:val="24"/>
        </w:rPr>
        <w:t>（3）</w:t>
      </w:r>
      <w:r>
        <w:rPr>
          <w:rFonts w:hint="eastAsia" w:ascii="宋体" w:hAnsi="宋体" w:eastAsia="宋体" w:cs="宋体"/>
          <w:b/>
          <w:bCs/>
          <w:color w:val="333333"/>
          <w:kern w:val="0"/>
          <w:sz w:val="24"/>
          <w:szCs w:val="24"/>
        </w:rPr>
        <w:t>绩效化</w:t>
      </w:r>
      <w:bookmarkEnd w:id="66"/>
      <w:bookmarkEnd w:id="67"/>
      <w:bookmarkEnd w:id="68"/>
    </w:p>
    <w:p>
      <w:pPr>
        <w:autoSpaceDE w:val="0"/>
        <w:autoSpaceDN w:val="0"/>
        <w:adjustRightInd w:val="0"/>
        <w:spacing w:line="360" w:lineRule="auto"/>
        <w:ind w:firstLine="360" w:firstLineChars="150"/>
        <w:jc w:val="left"/>
        <w:rPr>
          <w:rFonts w:ascii="宋体" w:hAnsi="宋体" w:eastAsia="宋体" w:cs="宋体"/>
          <w:kern w:val="0"/>
          <w:sz w:val="24"/>
          <w:szCs w:val="24"/>
        </w:rPr>
      </w:pPr>
      <w:r>
        <w:rPr>
          <w:rFonts w:hint="eastAsia" w:ascii="宋体" w:hAnsi="宋体" w:eastAsia="宋体" w:cs="宋体"/>
          <w:kern w:val="0"/>
          <w:sz w:val="24"/>
          <w:szCs w:val="24"/>
        </w:rPr>
        <w:t>绩效具有丰富的含义,一般来说,是指一个组织为了达到目标而采取的各种行为的结果,是客观存在,可以为人所辨别确认。绩效又分为组织绩效和员工绩效。组织绩效是组织为了实现一定的目标所完成的各种任务的数量、质量及效率。员工绩效就是员工的工作效果、业绩、贡献。其主要包括完成工作的数量、质量、成本费用,以及为改善组织形象所做出的其他贡献。绩效是员工知识、能力、态度等综合素质的反映,是组织对员工的最终期望。绩效是对工作行为及工作结果的一种反映,也是员工内在素质和潜能的一种体现。</w:t>
      </w:r>
    </w:p>
    <w:p>
      <w:pPr>
        <w:autoSpaceDE w:val="0"/>
        <w:autoSpaceDN w:val="0"/>
        <w:adjustRightInd w:val="0"/>
        <w:spacing w:line="360" w:lineRule="auto"/>
        <w:ind w:firstLine="360" w:firstLineChars="150"/>
        <w:jc w:val="left"/>
        <w:rPr>
          <w:rFonts w:ascii="宋体" w:hAnsi="宋体" w:eastAsia="宋体" w:cs="宋体"/>
          <w:kern w:val="0"/>
          <w:sz w:val="24"/>
          <w:szCs w:val="24"/>
        </w:rPr>
      </w:pPr>
      <w:r>
        <w:rPr>
          <w:rFonts w:hint="eastAsia" w:ascii="宋体" w:hAnsi="宋体" w:eastAsia="宋体" w:cs="宋体"/>
          <w:kern w:val="0"/>
          <w:sz w:val="24"/>
          <w:szCs w:val="24"/>
        </w:rPr>
        <w:t>绩效主要包括三个方面:</w:t>
      </w:r>
    </w:p>
    <w:p>
      <w:pPr>
        <w:autoSpaceDE w:val="0"/>
        <w:autoSpaceDN w:val="0"/>
        <w:adjustRightInd w:val="0"/>
        <w:spacing w:line="360" w:lineRule="auto"/>
        <w:ind w:firstLine="360" w:firstLineChars="150"/>
        <w:jc w:val="left"/>
        <w:rPr>
          <w:rFonts w:ascii="宋体" w:hAnsi="宋体" w:eastAsia="宋体" w:cs="宋体"/>
          <w:kern w:val="0"/>
          <w:sz w:val="24"/>
          <w:szCs w:val="24"/>
        </w:rPr>
      </w:pPr>
      <w:r>
        <w:rPr>
          <w:rFonts w:hint="eastAsia" w:ascii="宋体" w:hAnsi="宋体" w:eastAsia="宋体" w:cs="宋体"/>
          <w:kern w:val="0"/>
          <w:sz w:val="24"/>
          <w:szCs w:val="24"/>
        </w:rPr>
        <w:t>工作效果,包括工作中取得的数量和质量,主要指工作活动所实现的预定目标的程度。工作效果涉及工作的结果。</w:t>
      </w:r>
    </w:p>
    <w:p>
      <w:pPr>
        <w:autoSpaceDE w:val="0"/>
        <w:autoSpaceDN w:val="0"/>
        <w:adjustRightInd w:val="0"/>
        <w:spacing w:line="360" w:lineRule="auto"/>
        <w:ind w:firstLine="360" w:firstLineChars="150"/>
        <w:jc w:val="left"/>
        <w:rPr>
          <w:rFonts w:ascii="宋体" w:hAnsi="宋体" w:eastAsia="宋体" w:cs="宋体"/>
          <w:kern w:val="0"/>
          <w:sz w:val="24"/>
          <w:szCs w:val="24"/>
        </w:rPr>
      </w:pPr>
      <w:r>
        <w:rPr>
          <w:rFonts w:hint="eastAsia" w:ascii="宋体" w:hAnsi="宋体" w:eastAsia="宋体" w:cs="宋体"/>
          <w:kern w:val="0"/>
          <w:sz w:val="24"/>
          <w:szCs w:val="24"/>
        </w:rPr>
        <w:t>工作效率。包括组织效率、管理效率、作业效率等方面。主要指时间、财物、信息、人力及其相互利用的效率。工作效率涉及工作的行为方式,是投人大于产出,还是投人小于产出。</w:t>
      </w:r>
    </w:p>
    <w:p>
      <w:pPr>
        <w:autoSpaceDE w:val="0"/>
        <w:autoSpaceDN w:val="0"/>
        <w:adjustRightInd w:val="0"/>
        <w:spacing w:line="360" w:lineRule="auto"/>
        <w:ind w:firstLine="360" w:firstLineChars="150"/>
        <w:jc w:val="left"/>
        <w:rPr>
          <w:rFonts w:ascii="宋体" w:hAnsi="宋体" w:eastAsia="宋体" w:cs="宋体"/>
          <w:kern w:val="0"/>
          <w:sz w:val="24"/>
          <w:szCs w:val="24"/>
        </w:rPr>
      </w:pPr>
      <w:r>
        <w:rPr>
          <w:rFonts w:hint="eastAsia" w:ascii="宋体" w:hAnsi="宋体" w:eastAsia="宋体" w:cs="宋体"/>
          <w:kern w:val="0"/>
          <w:sz w:val="24"/>
          <w:szCs w:val="24"/>
        </w:rPr>
        <w:t>工作效益,包括工作中所取得的经济效益、社会效益、时间效益等。工作效益主要涉及对组织的贡献。</w:t>
      </w:r>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xml:space="preserve">高校图书馆作为提供人们文献信息服务的社会公益性服务机构,其提供的服务不像具体的商品用质与量加以评判,也不像其他商业性质的服务行业用服务的收益来衡量其服务行为。1989年,麦肯基定义“图书馆的绩效评价是对图书馆在特定时间实现其目标的程度的系统评价,是对图书馆工作的好坏程度的总体评价”，国际图联(IFLA,1996)明确了“绩效是一个图书馆实现其目标尤其是满足用户需求的程度,绩效评价就是:图书馆正在做的(表现)与其使命以及想要达到的目标之间的比较”。图书馆的绩效评价有助于图书馆重视其任务与目标的确立,进行长期规划的制定与执行;有助于文献资源、人力资源和技术的优化配置和合理有效运行,控制业务与服务流程的执行过程;有助于明确用户需求与实际服务的差距,提升图书馆的服务水平和服务质量。 </w:t>
      </w:r>
    </w:p>
    <w:p>
      <w:pPr>
        <w:pStyle w:val="24"/>
        <w:autoSpaceDE w:val="0"/>
        <w:autoSpaceDN w:val="0"/>
        <w:adjustRightInd w:val="0"/>
        <w:spacing w:line="360" w:lineRule="auto"/>
        <w:ind w:firstLine="360" w:firstLineChars="150"/>
        <w:jc w:val="left"/>
        <w:rPr>
          <w:rFonts w:ascii="宋体" w:hAnsi="宋体" w:eastAsia="宋体" w:cs="宋体"/>
          <w:kern w:val="0"/>
          <w:sz w:val="24"/>
          <w:szCs w:val="24"/>
        </w:rPr>
      </w:pPr>
      <w:r>
        <w:rPr>
          <w:rFonts w:hint="eastAsia" w:ascii="宋体" w:hAnsi="宋体" w:eastAsia="宋体" w:cs="宋体"/>
          <w:kern w:val="0"/>
          <w:sz w:val="24"/>
          <w:szCs w:val="24"/>
        </w:rPr>
        <w:t>实施绩效管理与评价是促进图书馆建设与发展的重要手段之一，一个图书馆要保持永久的活力和竞争力,就必须确定以绩效为导向,构建图书馆文化,尊重的人的能力,发挥人的创造性,以团结协作共同发展的人文环境作为馆员生存发展的良好条件,激励馆员奋发图强、不懈努力。图书馆组织机构重组后，要形成以绩效为导向的管理机制,将绩效纳入到图书馆管理过程中,从全馆到各部门再到个人实行工作有计划、有进度、有考核,保证各项工作的有序进行并达到预期的良好效果，提高图书馆的办馆效率、服务水平和管理水平,有利于图书馆管理者的科学决策。</w:t>
      </w:r>
    </w:p>
    <w:p>
      <w:pPr>
        <w:pStyle w:val="24"/>
        <w:autoSpaceDE w:val="0"/>
        <w:autoSpaceDN w:val="0"/>
        <w:adjustRightInd w:val="0"/>
        <w:spacing w:line="360" w:lineRule="auto"/>
        <w:ind w:firstLine="360" w:firstLineChars="150"/>
        <w:jc w:val="left"/>
        <w:rPr>
          <w:rFonts w:ascii="宋体" w:hAnsi="宋体" w:eastAsia="宋体" w:cs="宋体"/>
          <w:b/>
          <w:kern w:val="0"/>
          <w:sz w:val="24"/>
          <w:szCs w:val="24"/>
        </w:rPr>
      </w:pPr>
      <w:bookmarkStart w:id="69" w:name="_Toc10930"/>
      <w:bookmarkStart w:id="70" w:name="_Toc20936"/>
      <w:bookmarkStart w:id="71" w:name="_Toc19870"/>
      <w:r>
        <w:rPr>
          <w:rFonts w:hint="eastAsia" w:ascii="宋体" w:hAnsi="宋体" w:eastAsia="宋体" w:cs="宋体"/>
          <w:b/>
          <w:kern w:val="0"/>
          <w:sz w:val="24"/>
          <w:szCs w:val="24"/>
        </w:rPr>
        <w:t>（4）人文化</w:t>
      </w:r>
      <w:bookmarkEnd w:id="69"/>
      <w:bookmarkEnd w:id="70"/>
      <w:bookmarkEnd w:id="71"/>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现代科学发展的管理理念在于人文的技术化和技术的人文化，人文化包括两方面读者和馆员。</w:t>
      </w:r>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图书馆工作的原则是“读者第一,服务至上”、“服务是贯穿图书馆发展的主线”。泛在知识环境下的图书馆信息服务系统是由信息资源、技术设备、服务平台、用户等构成的一个有机的动态系统,而人是这一动态系统的中心。所以在构建业务布局时必须坚持以人为本的服务理念,面向用户的信息需求来提供服务,一切以用户为中心,并将这一理念贯穿整个服务始终,实现用户在最短时间内,以最节省的方式获取最多、最优质的服务。</w:t>
      </w:r>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重构图书馆组织文化, 倡导组织价值观,改善相互关系,将组织成员的个人发展要求与组织变革目标结合起来,以发挥组织成员的潜能、发现组织中的潜在人才,激发新的创造力更新用人观念,以人为本、以心为本,重在“开发”而非“管理”,强化人本投资。改变消极压缩人才投资成本为积极开发才能,重视人的知识结构整体优化,完善人才群体结构,以推进组织成员整体性素质和能力的提高。业务布局再造的实施又需要两大基础,即信息技术与高素质的人才。改善内部环境,增强凝聚力,稳定人才同时推动人能回应生存与发展的挑战; 流程的变革很有可能会对操作习惯、岗位职责提出更高、更新的要求，这个过程势必会对现有人员的技能提出挑战，由此造成有些人的能力达不到新流程的需求。对这类人，给予适当的培训，同时辅导他按照新流程执行。合理流动,使组织成员的行为包括个体行为、群体行为和领导行为都有改变,都能按组织发展目标运作,以提高双满意度。因此每个图书馆应营造和倡导组织文化和人文环境，构建管理者及馆员确立共同的价值观, 将图书馆文化运用到图书馆实际工作中就是倡导人人凭能力、个个凭实力的价值观,激励全体馆员奋发向上、开拓进取的良好风气,并将其内化为馆员的一种生存方式和行为准则。</w:t>
      </w:r>
    </w:p>
    <w:p>
      <w:pPr>
        <w:autoSpaceDE w:val="0"/>
        <w:autoSpaceDN w:val="0"/>
        <w:adjustRightInd w:val="0"/>
        <w:snapToGrid w:val="0"/>
        <w:spacing w:line="360" w:lineRule="auto"/>
        <w:ind w:firstLine="480" w:firstLineChars="200"/>
        <w:jc w:val="left"/>
        <w:outlineLvl w:val="2"/>
        <w:rPr>
          <w:rFonts w:ascii="宋体" w:hAnsi="宋体" w:eastAsia="宋体" w:cs="宋体"/>
          <w:b/>
          <w:bCs/>
          <w:sz w:val="24"/>
          <w:szCs w:val="24"/>
        </w:rPr>
      </w:pPr>
      <w:bookmarkStart w:id="72" w:name="_Toc26568"/>
      <w:bookmarkStart w:id="73" w:name="_Toc28845"/>
      <w:bookmarkStart w:id="74" w:name="_Toc867"/>
      <w:bookmarkStart w:id="75" w:name="_Toc24398"/>
      <w:bookmarkStart w:id="76" w:name="_Toc27759"/>
      <w:r>
        <w:rPr>
          <w:rFonts w:hint="eastAsia" w:ascii="宋体" w:hAnsi="宋体" w:eastAsia="宋体" w:cs="宋体"/>
          <w:b/>
          <w:bCs/>
          <w:kern w:val="0"/>
          <w:sz w:val="24"/>
          <w:szCs w:val="24"/>
        </w:rPr>
        <w:t>2.3.2 图书馆</w:t>
      </w:r>
      <w:r>
        <w:rPr>
          <w:rFonts w:hint="eastAsia" w:ascii="宋体" w:hAnsi="宋体" w:eastAsia="宋体" w:cs="宋体"/>
          <w:b/>
          <w:bCs/>
          <w:sz w:val="24"/>
          <w:szCs w:val="24"/>
        </w:rPr>
        <w:t>业务布局重组原则</w:t>
      </w:r>
      <w:bookmarkEnd w:id="72"/>
      <w:bookmarkEnd w:id="73"/>
      <w:bookmarkEnd w:id="74"/>
      <w:bookmarkEnd w:id="75"/>
      <w:bookmarkEnd w:id="76"/>
    </w:p>
    <w:p>
      <w:pPr>
        <w:pStyle w:val="24"/>
        <w:autoSpaceDE w:val="0"/>
        <w:autoSpaceDN w:val="0"/>
        <w:adjustRightInd w:val="0"/>
        <w:snapToGrid w:val="0"/>
        <w:spacing w:line="360" w:lineRule="auto"/>
        <w:ind w:left="420" w:leftChars="200" w:firstLine="0" w:firstLineChars="0"/>
        <w:jc w:val="left"/>
        <w:rPr>
          <w:rFonts w:ascii="宋体" w:hAnsi="宋体" w:eastAsia="宋体" w:cs="宋体"/>
          <w:b/>
          <w:bCs/>
          <w:sz w:val="24"/>
          <w:szCs w:val="24"/>
        </w:rPr>
      </w:pPr>
      <w:bookmarkStart w:id="77" w:name="_Toc29600"/>
      <w:bookmarkStart w:id="78" w:name="_Toc24406"/>
      <w:bookmarkStart w:id="79" w:name="_Toc17106"/>
      <w:r>
        <w:rPr>
          <w:rFonts w:hint="eastAsia" w:ascii="宋体" w:hAnsi="宋体" w:eastAsia="宋体" w:cs="宋体"/>
          <w:b/>
          <w:bCs/>
          <w:sz w:val="24"/>
          <w:szCs w:val="24"/>
        </w:rPr>
        <w:t>（1）用户满意需求导向原则</w:t>
      </w:r>
      <w:bookmarkEnd w:id="77"/>
      <w:bookmarkEnd w:id="78"/>
      <w:bookmarkEnd w:id="79"/>
    </w:p>
    <w:p>
      <w:pPr>
        <w:autoSpaceDE w:val="0"/>
        <w:autoSpaceDN w:val="0"/>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明确业务流程重组是面向用户或服务，用户可以是外部的,也可以是内部的；图书馆存在的原因是创造价值,而价值是由流程创造的, 业务活动都应该是增值的。任何业务布局设计和实施必须以用户和服务为导向，改变以往只对任务、上级或局部负责的局面。</w:t>
      </w:r>
    </w:p>
    <w:p>
      <w:pPr>
        <w:pStyle w:val="24"/>
        <w:autoSpaceDE w:val="0"/>
        <w:autoSpaceDN w:val="0"/>
        <w:adjustRightInd w:val="0"/>
        <w:snapToGrid w:val="0"/>
        <w:spacing w:line="360" w:lineRule="auto"/>
        <w:ind w:left="420" w:leftChars="200" w:firstLine="0" w:firstLineChars="0"/>
        <w:jc w:val="left"/>
        <w:rPr>
          <w:rFonts w:ascii="宋体" w:hAnsi="宋体" w:eastAsia="宋体" w:cs="宋体"/>
          <w:b/>
          <w:bCs/>
          <w:sz w:val="24"/>
          <w:szCs w:val="24"/>
        </w:rPr>
      </w:pPr>
      <w:bookmarkStart w:id="80" w:name="_Toc11476"/>
      <w:bookmarkStart w:id="81" w:name="_Toc12722"/>
      <w:bookmarkStart w:id="82" w:name="_Toc7400"/>
      <w:r>
        <w:rPr>
          <w:rFonts w:hint="eastAsia" w:ascii="宋体" w:hAnsi="宋体" w:eastAsia="宋体" w:cs="宋体"/>
          <w:b/>
          <w:bCs/>
          <w:sz w:val="24"/>
          <w:szCs w:val="24"/>
        </w:rPr>
        <w:t>（2）以人为本团队管理原则</w:t>
      </w:r>
      <w:bookmarkEnd w:id="80"/>
      <w:bookmarkEnd w:id="81"/>
      <w:bookmarkEnd w:id="82"/>
    </w:p>
    <w:p>
      <w:pPr>
        <w:pStyle w:val="24"/>
        <w:autoSpaceDE w:val="0"/>
        <w:autoSpaceDN w:val="0"/>
        <w:adjustRightInd w:val="0"/>
        <w:snapToGrid w:val="0"/>
        <w:spacing w:line="360" w:lineRule="auto"/>
        <w:ind w:firstLine="480"/>
        <w:jc w:val="left"/>
        <w:rPr>
          <w:rFonts w:ascii="宋体" w:hAnsi="宋体" w:eastAsia="宋体" w:cs="宋体"/>
          <w:sz w:val="24"/>
          <w:szCs w:val="24"/>
        </w:rPr>
      </w:pPr>
      <w:r>
        <w:rPr>
          <w:rFonts w:hint="eastAsia" w:ascii="宋体" w:hAnsi="宋体" w:eastAsia="宋体" w:cs="宋体"/>
          <w:sz w:val="24"/>
          <w:szCs w:val="24"/>
        </w:rPr>
        <w:t>团队是由数量较少、具有互补技能的人组成的，致力于共同的目的、绩效目标和工作方法，并共同承担责任。通过激励措施，最大限度地释放个人的创新能量，使馆员的个人事业追求与组织目标相一致，团队将形成一个为共同目标协同努力的自我控制、自我发展的机制。</w:t>
      </w:r>
    </w:p>
    <w:p>
      <w:pPr>
        <w:autoSpaceDE w:val="0"/>
        <w:autoSpaceDN w:val="0"/>
        <w:adjustRightInd w:val="0"/>
        <w:snapToGrid w:val="0"/>
        <w:spacing w:line="360" w:lineRule="auto"/>
        <w:ind w:firstLine="480" w:firstLineChars="200"/>
        <w:jc w:val="left"/>
        <w:rPr>
          <w:rFonts w:ascii="宋体" w:hAnsi="宋体" w:eastAsia="宋体" w:cs="宋体"/>
          <w:sz w:val="24"/>
          <w:szCs w:val="24"/>
        </w:rPr>
      </w:pPr>
      <w:bookmarkStart w:id="83" w:name="_Toc16063"/>
      <w:bookmarkStart w:id="84" w:name="_Toc30881"/>
      <w:bookmarkStart w:id="85" w:name="_Toc10442"/>
      <w:r>
        <w:rPr>
          <w:rFonts w:hint="eastAsia" w:ascii="宋体" w:hAnsi="宋体" w:eastAsia="宋体" w:cs="宋体"/>
          <w:b/>
          <w:bCs/>
          <w:sz w:val="24"/>
          <w:szCs w:val="24"/>
        </w:rPr>
        <w:t>（3）信息技术科学利用原则</w:t>
      </w:r>
      <w:bookmarkEnd w:id="83"/>
      <w:bookmarkEnd w:id="84"/>
      <w:bookmarkEnd w:id="85"/>
    </w:p>
    <w:p>
      <w:pPr>
        <w:autoSpaceDE w:val="0"/>
        <w:autoSpaceDN w:val="0"/>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现代信息技术是业务布局重组的物质基础和促进条件。重组活动要重视信息技术的力量,集成化管理整体业务流程，将信息处理技术与业务流程溶为一体，在信息产生之处一次性地准确获取原始信息，避免错误数据信息的输入和重复输出。信息技术的运用也使得相互分离的组织部门能够为同一方案实施进行平行作业,提高企业的整体控制能力。</w:t>
      </w:r>
    </w:p>
    <w:p>
      <w:pPr>
        <w:autoSpaceDE w:val="0"/>
        <w:autoSpaceDN w:val="0"/>
        <w:adjustRightInd w:val="0"/>
        <w:snapToGrid w:val="0"/>
        <w:spacing w:line="360" w:lineRule="auto"/>
        <w:ind w:firstLine="480" w:firstLineChars="200"/>
        <w:jc w:val="left"/>
        <w:rPr>
          <w:rFonts w:ascii="宋体" w:hAnsi="宋体" w:eastAsia="宋体" w:cs="宋体"/>
          <w:b/>
          <w:bCs/>
          <w:sz w:val="24"/>
          <w:szCs w:val="24"/>
        </w:rPr>
      </w:pPr>
      <w:bookmarkStart w:id="86" w:name="_Toc19988"/>
      <w:bookmarkStart w:id="87" w:name="_Toc27977"/>
      <w:bookmarkStart w:id="88" w:name="_Toc1364"/>
      <w:r>
        <w:rPr>
          <w:rFonts w:hint="eastAsia" w:ascii="宋体" w:hAnsi="宋体" w:eastAsia="宋体" w:cs="宋体"/>
          <w:b/>
          <w:bCs/>
          <w:sz w:val="24"/>
          <w:szCs w:val="24"/>
        </w:rPr>
        <w:t>（4）战略性规划整体性原则</w:t>
      </w:r>
      <w:bookmarkEnd w:id="86"/>
      <w:bookmarkEnd w:id="87"/>
      <w:bookmarkEnd w:id="88"/>
    </w:p>
    <w:p>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业务布局重组不仅涉及流程设计、组织机构、人事制度等，更为重要的是，对领导者和馆员的思维方式、日常运作方式、激励方式乃至图书馆文化等都要进行重组。重组是系统理论在业务流程中的具体实施, ,应注重整体业务活动系统优化,强调整体最优而不是局部或单个环节的最优，消除本位主义和利益分散主义，重组后的业务布局有利于企业战略目标的实现。</w:t>
      </w:r>
    </w:p>
    <w:p>
      <w:pPr>
        <w:widowControl/>
        <w:spacing w:line="360" w:lineRule="auto"/>
        <w:ind w:firstLine="480" w:firstLineChars="200"/>
        <w:jc w:val="left"/>
        <w:rPr>
          <w:rFonts w:ascii="宋体" w:hAnsi="宋体" w:eastAsia="宋体" w:cs="宋体"/>
          <w:sz w:val="24"/>
          <w:szCs w:val="24"/>
        </w:rPr>
      </w:pPr>
      <w:bookmarkStart w:id="89" w:name="_Toc936"/>
      <w:bookmarkStart w:id="90" w:name="_Toc24002"/>
      <w:bookmarkStart w:id="91" w:name="_Toc25107"/>
      <w:r>
        <w:rPr>
          <w:rFonts w:hint="eastAsia" w:ascii="宋体" w:hAnsi="宋体" w:eastAsia="宋体" w:cs="宋体"/>
          <w:b/>
          <w:bCs/>
          <w:sz w:val="24"/>
          <w:szCs w:val="24"/>
        </w:rPr>
        <w:t>（5）循序渐进可操作性原则</w:t>
      </w:r>
      <w:bookmarkEnd w:id="89"/>
      <w:bookmarkEnd w:id="90"/>
      <w:bookmarkEnd w:id="91"/>
    </w:p>
    <w:p>
      <w:pPr>
        <w:autoSpaceDE w:val="0"/>
        <w:autoSpaceDN w:val="0"/>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在一般情况下,图书馆有许多不同的业务部门,一次性重组所有业务会导致其超出组织的承受能力。所以,在实施业务布局重组之前,要选择好重组的对象。根据情况可以循序渐进的进行。循序渐进的好处是避免重组的过分猛烈地冲击,让馆员做好充分的心理准备,以使图书馆业务布局重组得以顺利进行。</w:t>
      </w:r>
    </w:p>
    <w:p>
      <w:pPr>
        <w:autoSpaceDE w:val="0"/>
        <w:autoSpaceDN w:val="0"/>
        <w:adjustRightInd w:val="0"/>
        <w:spacing w:line="360" w:lineRule="auto"/>
        <w:ind w:firstLine="480" w:firstLineChars="200"/>
        <w:jc w:val="left"/>
        <w:outlineLvl w:val="2"/>
        <w:rPr>
          <w:rFonts w:ascii="宋体" w:hAnsi="宋体" w:eastAsia="宋体" w:cs="宋体"/>
          <w:b/>
          <w:bCs/>
          <w:kern w:val="0"/>
          <w:sz w:val="24"/>
          <w:szCs w:val="24"/>
        </w:rPr>
      </w:pPr>
      <w:bookmarkStart w:id="92" w:name="_Toc16002"/>
      <w:bookmarkStart w:id="93" w:name="_Toc4266"/>
      <w:bookmarkStart w:id="94" w:name="_Toc11365"/>
      <w:bookmarkStart w:id="95" w:name="_Toc12646"/>
      <w:bookmarkStart w:id="96" w:name="_Toc1916"/>
      <w:r>
        <w:rPr>
          <w:rFonts w:hint="eastAsia" w:ascii="宋体" w:hAnsi="宋体" w:eastAsia="宋体" w:cs="宋体"/>
          <w:b/>
          <w:bCs/>
          <w:kern w:val="0"/>
          <w:sz w:val="24"/>
          <w:szCs w:val="24"/>
        </w:rPr>
        <w:t>2.3.3 我国部分高校图书馆业务布局调查</w:t>
      </w:r>
      <w:bookmarkEnd w:id="92"/>
      <w:bookmarkEnd w:id="93"/>
      <w:bookmarkEnd w:id="94"/>
      <w:bookmarkEnd w:id="95"/>
      <w:bookmarkEnd w:id="96"/>
    </w:p>
    <w:p>
      <w:pPr>
        <w:widowControl/>
        <w:shd w:val="clear" w:color="auto" w:fill="FFFFFF"/>
        <w:spacing w:line="360" w:lineRule="auto"/>
        <w:ind w:firstLine="480" w:firstLineChars="200"/>
        <w:jc w:val="left"/>
        <w:rPr>
          <w:rFonts w:ascii="宋体" w:hAnsi="宋体" w:eastAsia="宋体" w:cs="宋体"/>
          <w:color w:val="000000" w:themeColor="text1"/>
          <w:kern w:val="0"/>
          <w:sz w:val="24"/>
          <w:szCs w:val="24"/>
        </w:rPr>
      </w:pPr>
      <w:bookmarkStart w:id="97" w:name="_Hlk35469755"/>
      <w:r>
        <w:rPr>
          <w:rFonts w:hint="eastAsia" w:ascii="宋体" w:hAnsi="宋体" w:eastAsia="宋体" w:cs="宋体"/>
          <w:sz w:val="24"/>
          <w:szCs w:val="24"/>
        </w:rPr>
        <w:t>图书馆的业务布局主要体现在图书馆业务活动开展和业务部门设置上，</w:t>
      </w:r>
      <w:bookmarkEnd w:id="97"/>
      <w:r>
        <w:rPr>
          <w:rFonts w:hint="eastAsia" w:ascii="宋体" w:hAnsi="宋体" w:eastAsia="宋体" w:cs="宋体"/>
          <w:color w:val="000000" w:themeColor="text1"/>
          <w:kern w:val="0"/>
          <w:sz w:val="24"/>
          <w:szCs w:val="24"/>
        </w:rPr>
        <w:t>为更好对我国高校图书馆业务活动和业务部门设置发展现状进行了解，本课题组选择132所高等学校（主要为211和农业高等院校）对其图书馆业务部门设置进行了调查，调查方式采取网上调研和文献调研相结合的方法。</w:t>
      </w:r>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网上调研：有的由于网页无法打开或主页业务部门信息不详等原因无法获取完整数据，最终调查为126所图书馆，通过访问</w:t>
      </w:r>
      <w:r>
        <w:rPr>
          <w:rFonts w:hint="eastAsia" w:ascii="宋体" w:hAnsi="宋体" w:eastAsia="宋体" w:cs="宋体"/>
          <w:color w:val="000000" w:themeColor="text1"/>
          <w:kern w:val="0"/>
          <w:sz w:val="24"/>
          <w:szCs w:val="24"/>
        </w:rPr>
        <w:t>126所</w:t>
      </w:r>
      <w:r>
        <w:rPr>
          <w:rFonts w:hint="eastAsia" w:ascii="宋体" w:hAnsi="宋体" w:eastAsia="宋体" w:cs="宋体"/>
          <w:kern w:val="0"/>
          <w:sz w:val="24"/>
          <w:szCs w:val="24"/>
        </w:rPr>
        <w:t>高校图书馆主页，获取图书馆概况介绍、业务部门设置、部门职责等相关信息，调查数据见表1。</w:t>
      </w:r>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文献调研：通过《中国知网》检索查阅有关国内高校图书馆业务重组或组织结构方面文章。</w:t>
      </w:r>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调查结果分析见表2。</w:t>
      </w:r>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从调查看，大部分高校图书馆的业务部门名称遵循传统的以“部”命名形式，并按文献处理流程设置业务部门的名称。如采编部、流通部、阅览部、信息咨询部等。有的馆成立专门部门管理特色馆藏，如古籍与特藏在此基础上，也有高校图书馆另设新部门，专门开展某一业务或研究，武汉大学和上海交通大学图书馆打破我国高校图书馆传统的组织结构模型，对组织结构与管理模式进行开拓，上海交大图书馆机构重组形成了以学科服务为基准的业务体系，其读者服务按学科分类的视角分为工学部、文学部、理学部，除流通功能单列外，参考咨询、阅览、资源建设等均按学科提供服务。这种以学科服务为导向规划组织结构的方式，将资源的采选、订购、管理与维护以及用户培训与服务进行了“个人承包”，在提高馆员工作效率的同时也提高了用户服务的质量，实现了专业上纵深方向的服务与发展。</w:t>
      </w:r>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color w:val="000000" w:themeColor="text1"/>
          <w:kern w:val="0"/>
          <w:sz w:val="24"/>
          <w:szCs w:val="24"/>
        </w:rPr>
        <w:t>总体趋势看，信息资源在</w:t>
      </w:r>
      <w:r>
        <w:rPr>
          <w:rFonts w:hint="eastAsia" w:ascii="宋体" w:hAnsi="宋体" w:eastAsia="宋体" w:cs="宋体"/>
          <w:kern w:val="0"/>
          <w:sz w:val="24"/>
          <w:szCs w:val="24"/>
        </w:rPr>
        <w:t>现代和未来的图书馆发展中涉及和需要的计算机网络技术越来越多，业务工作逐渐细化，在传统部门基础上，衍生出若干新的独立部门，如数字资源部、知识服务中心、学科支持中心，阅读推广中心等，有的图书馆已采用团队方式开展工作，如北京大学、上海交通大学图书馆等。</w:t>
      </w:r>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部分高等农业院校图书馆对业务部门设置进行了变革，但总体看力度不大。</w:t>
      </w:r>
    </w:p>
    <w:p>
      <w:pPr>
        <w:autoSpaceDE w:val="0"/>
        <w:autoSpaceDN w:val="0"/>
        <w:adjustRightInd w:val="0"/>
        <w:spacing w:line="360" w:lineRule="auto"/>
        <w:ind w:firstLine="480" w:firstLineChars="200"/>
        <w:jc w:val="left"/>
        <w:rPr>
          <w:rFonts w:ascii="宋体" w:hAnsi="宋体" w:eastAsia="宋体" w:cs="宋体"/>
          <w:kern w:val="0"/>
          <w:sz w:val="24"/>
          <w:szCs w:val="24"/>
        </w:rPr>
        <w:sectPr>
          <w:footerReference r:id="rId4" w:type="default"/>
          <w:pgSz w:w="11906" w:h="16838"/>
          <w:pgMar w:top="1440" w:right="1797" w:bottom="1440" w:left="1797" w:header="851" w:footer="992" w:gutter="0"/>
          <w:pgNumType w:start="1"/>
          <w:cols w:space="425" w:num="1"/>
          <w:docGrid w:type="linesAndChars" w:linePitch="312" w:charSpace="0"/>
        </w:sectPr>
      </w:pPr>
    </w:p>
    <w:p>
      <w:pPr>
        <w:autoSpaceDE w:val="0"/>
        <w:autoSpaceDN w:val="0"/>
        <w:adjustRightInd w:val="0"/>
        <w:spacing w:line="360" w:lineRule="auto"/>
        <w:ind w:firstLine="480" w:firstLineChars="200"/>
        <w:jc w:val="left"/>
        <w:rPr>
          <w:rFonts w:ascii="宋体" w:hAnsi="宋体" w:eastAsia="宋体" w:cs="宋体"/>
          <w:kern w:val="0"/>
          <w:sz w:val="24"/>
          <w:szCs w:val="24"/>
        </w:rPr>
      </w:pPr>
    </w:p>
    <w:p>
      <w:pPr>
        <w:autoSpaceDE w:val="0"/>
        <w:autoSpaceDN w:val="0"/>
        <w:adjustRightInd w:val="0"/>
        <w:spacing w:line="360" w:lineRule="auto"/>
        <w:ind w:firstLine="240" w:firstLineChars="100"/>
        <w:jc w:val="left"/>
        <w:rPr>
          <w:rFonts w:ascii="宋体" w:hAnsi="宋体" w:eastAsia="宋体" w:cs="宋体"/>
          <w:b/>
          <w:bCs/>
          <w:sz w:val="24"/>
          <w:szCs w:val="24"/>
        </w:rPr>
      </w:pPr>
      <w:r>
        <w:rPr>
          <w:rFonts w:hint="eastAsia" w:ascii="宋体" w:hAnsi="宋体" w:eastAsia="宋体" w:cs="宋体"/>
          <w:b/>
          <w:bCs/>
          <w:sz w:val="24"/>
          <w:szCs w:val="24"/>
        </w:rPr>
        <w:t>表1：我国部分211和农业高等院校图书馆部门设置调查表</w:t>
      </w:r>
    </w:p>
    <w:p>
      <w:pPr>
        <w:autoSpaceDE w:val="0"/>
        <w:autoSpaceDN w:val="0"/>
        <w:adjustRightInd w:val="0"/>
        <w:spacing w:line="360" w:lineRule="auto"/>
        <w:jc w:val="left"/>
        <w:rPr>
          <w:rFonts w:ascii="宋体" w:hAnsi="宋体" w:eastAsia="宋体" w:cs="宋体"/>
        </w:rPr>
      </w:pPr>
      <w:r>
        <w:rPr>
          <w:rFonts w:hint="eastAsia" w:ascii="宋体" w:hAnsi="宋体" w:eastAsia="宋体" w:cs="宋体"/>
        </w:rPr>
        <w:drawing>
          <wp:inline distT="0" distB="0" distL="0" distR="0">
            <wp:extent cx="8865235" cy="4324350"/>
            <wp:effectExtent l="0" t="0" r="12065"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9" cstate="print"/>
                    <a:srcRect/>
                    <a:stretch>
                      <a:fillRect/>
                    </a:stretch>
                  </pic:blipFill>
                  <pic:spPr>
                    <a:xfrm>
                      <a:off x="0" y="0"/>
                      <a:ext cx="8863330" cy="4323156"/>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rPr>
          <w:rFonts w:ascii="宋体" w:hAnsi="宋体" w:eastAsia="宋体" w:cs="宋体"/>
        </w:rPr>
      </w:pPr>
      <w:r>
        <w:rPr>
          <w:rFonts w:hint="eastAsia" w:ascii="宋体" w:hAnsi="宋体" w:eastAsia="宋体" w:cs="宋体"/>
        </w:rPr>
        <w:drawing>
          <wp:inline distT="0" distB="0" distL="0" distR="0">
            <wp:extent cx="8863330" cy="5068570"/>
            <wp:effectExtent l="0" t="0" r="1270" b="11430"/>
            <wp:docPr id="2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4"/>
                    <pic:cNvPicPr>
                      <a:picLocks noChangeAspect="1" noChangeArrowheads="1"/>
                    </pic:cNvPicPr>
                  </pic:nvPicPr>
                  <pic:blipFill>
                    <a:blip r:embed="rId10" cstate="print"/>
                    <a:srcRect/>
                    <a:stretch>
                      <a:fillRect/>
                    </a:stretch>
                  </pic:blipFill>
                  <pic:spPr>
                    <a:xfrm>
                      <a:off x="0" y="0"/>
                      <a:ext cx="8863330" cy="5068775"/>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rPr>
          <w:rFonts w:ascii="宋体" w:hAnsi="宋体" w:eastAsia="宋体" w:cs="宋体"/>
        </w:rPr>
      </w:pPr>
      <w:r>
        <w:rPr>
          <w:rFonts w:hint="eastAsia" w:ascii="宋体" w:hAnsi="宋体" w:eastAsia="宋体" w:cs="宋体"/>
        </w:rPr>
        <w:drawing>
          <wp:inline distT="0" distB="0" distL="0" distR="0">
            <wp:extent cx="8863330" cy="5243830"/>
            <wp:effectExtent l="0" t="0" r="1270" b="127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1" cstate="print"/>
                    <a:srcRect/>
                    <a:stretch>
                      <a:fillRect/>
                    </a:stretch>
                  </pic:blipFill>
                  <pic:spPr>
                    <a:xfrm>
                      <a:off x="0" y="0"/>
                      <a:ext cx="8863330" cy="5244294"/>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rPr>
          <w:rFonts w:ascii="宋体" w:hAnsi="宋体" w:eastAsia="宋体" w:cs="宋体"/>
        </w:rPr>
      </w:pPr>
      <w:r>
        <w:rPr>
          <w:rFonts w:hint="eastAsia" w:ascii="宋体" w:hAnsi="宋体" w:eastAsia="宋体" w:cs="宋体"/>
        </w:rPr>
        <w:drawing>
          <wp:inline distT="0" distB="0" distL="0" distR="0">
            <wp:extent cx="8863330" cy="5022850"/>
            <wp:effectExtent l="0" t="0" r="1270" b="63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2" cstate="print"/>
                    <a:srcRect/>
                    <a:stretch>
                      <a:fillRect/>
                    </a:stretch>
                  </pic:blipFill>
                  <pic:spPr>
                    <a:xfrm>
                      <a:off x="0" y="0"/>
                      <a:ext cx="8863330" cy="5022869"/>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rPr>
          <w:rFonts w:ascii="宋体" w:hAnsi="宋体" w:eastAsia="宋体" w:cs="宋体"/>
        </w:rPr>
      </w:pPr>
      <w:r>
        <w:rPr>
          <w:rFonts w:hint="eastAsia" w:ascii="宋体" w:hAnsi="宋体" w:eastAsia="宋体" w:cs="宋体"/>
        </w:rPr>
        <w:drawing>
          <wp:inline distT="0" distB="0" distL="0" distR="0">
            <wp:extent cx="8863330" cy="5067300"/>
            <wp:effectExtent l="0" t="0" r="127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3" cstate="print"/>
                    <a:srcRect/>
                    <a:stretch>
                      <a:fillRect/>
                    </a:stretch>
                  </pic:blipFill>
                  <pic:spPr>
                    <a:xfrm>
                      <a:off x="0" y="0"/>
                      <a:ext cx="8863330" cy="5067451"/>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rPr>
          <w:rFonts w:ascii="宋体" w:hAnsi="宋体" w:eastAsia="宋体" w:cs="宋体"/>
        </w:rPr>
      </w:pPr>
      <w:r>
        <w:rPr>
          <w:rFonts w:hint="eastAsia" w:ascii="宋体" w:hAnsi="宋体" w:eastAsia="宋体" w:cs="宋体"/>
        </w:rPr>
        <w:drawing>
          <wp:inline distT="0" distB="0" distL="0" distR="0">
            <wp:extent cx="8863330" cy="5225415"/>
            <wp:effectExtent l="0" t="0" r="1270" b="698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4" cstate="print"/>
                    <a:srcRect/>
                    <a:stretch>
                      <a:fillRect/>
                    </a:stretch>
                  </pic:blipFill>
                  <pic:spPr>
                    <a:xfrm>
                      <a:off x="0" y="0"/>
                      <a:ext cx="8863330" cy="5225887"/>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rPr>
          <w:rFonts w:ascii="宋体" w:hAnsi="宋体" w:eastAsia="宋体" w:cs="宋体"/>
        </w:rPr>
      </w:pPr>
      <w:r>
        <w:rPr>
          <w:rFonts w:hint="eastAsia" w:ascii="宋体" w:hAnsi="宋体" w:eastAsia="宋体" w:cs="宋体"/>
        </w:rPr>
        <w:drawing>
          <wp:inline distT="0" distB="0" distL="0" distR="0">
            <wp:extent cx="8863330" cy="5295265"/>
            <wp:effectExtent l="0" t="0" r="1270" b="63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5" cstate="print"/>
                    <a:srcRect/>
                    <a:stretch>
                      <a:fillRect/>
                    </a:stretch>
                  </pic:blipFill>
                  <pic:spPr>
                    <a:xfrm>
                      <a:off x="0" y="0"/>
                      <a:ext cx="8863330" cy="5295464"/>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rPr>
          <w:rFonts w:ascii="宋体" w:hAnsi="宋体" w:eastAsia="宋体" w:cs="宋体"/>
        </w:rPr>
      </w:pPr>
      <w:r>
        <w:rPr>
          <w:rFonts w:hint="eastAsia" w:ascii="宋体" w:hAnsi="宋体" w:eastAsia="宋体" w:cs="宋体"/>
        </w:rPr>
        <w:drawing>
          <wp:inline distT="0" distB="0" distL="0" distR="0">
            <wp:extent cx="8782050" cy="4953000"/>
            <wp:effectExtent l="0" t="0" r="635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16" cstate="print"/>
                    <a:srcRect/>
                    <a:stretch>
                      <a:fillRect/>
                    </a:stretch>
                  </pic:blipFill>
                  <pic:spPr>
                    <a:xfrm>
                      <a:off x="0" y="0"/>
                      <a:ext cx="8782050" cy="4953000"/>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rPr>
          <w:rFonts w:ascii="宋体" w:hAnsi="宋体" w:eastAsia="宋体" w:cs="宋体"/>
        </w:rPr>
      </w:pPr>
      <w:r>
        <w:rPr>
          <w:rFonts w:hint="eastAsia" w:ascii="宋体" w:hAnsi="宋体" w:eastAsia="宋体" w:cs="宋体"/>
        </w:rPr>
        <w:drawing>
          <wp:inline distT="0" distB="0" distL="0" distR="0">
            <wp:extent cx="8863330" cy="4988560"/>
            <wp:effectExtent l="0" t="0" r="1270" b="254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17" cstate="print"/>
                    <a:srcRect/>
                    <a:stretch>
                      <a:fillRect/>
                    </a:stretch>
                  </pic:blipFill>
                  <pic:spPr>
                    <a:xfrm>
                      <a:off x="0" y="0"/>
                      <a:ext cx="8863330" cy="4989107"/>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rPr>
          <w:rFonts w:ascii="宋体" w:hAnsi="宋体" w:eastAsia="宋体" w:cs="宋体"/>
        </w:rPr>
      </w:pPr>
      <w:r>
        <w:rPr>
          <w:rFonts w:hint="eastAsia" w:ascii="宋体" w:hAnsi="宋体" w:eastAsia="宋体" w:cs="宋体"/>
        </w:rPr>
        <w:drawing>
          <wp:inline distT="0" distB="0" distL="0" distR="0">
            <wp:extent cx="8863330" cy="5059045"/>
            <wp:effectExtent l="0" t="0" r="1270" b="825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18" cstate="print"/>
                    <a:srcRect/>
                    <a:stretch>
                      <a:fillRect/>
                    </a:stretch>
                  </pic:blipFill>
                  <pic:spPr>
                    <a:xfrm>
                      <a:off x="0" y="0"/>
                      <a:ext cx="8863330" cy="5059406"/>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rPr>
          <w:rFonts w:ascii="宋体" w:hAnsi="宋体" w:eastAsia="宋体" w:cs="宋体"/>
        </w:rPr>
      </w:pPr>
      <w:r>
        <w:rPr>
          <w:rFonts w:hint="eastAsia" w:ascii="宋体" w:hAnsi="宋体" w:eastAsia="宋体" w:cs="宋体"/>
        </w:rPr>
        <w:drawing>
          <wp:inline distT="0" distB="0" distL="0" distR="0">
            <wp:extent cx="8863330" cy="4909820"/>
            <wp:effectExtent l="0" t="0" r="1270" b="508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19" cstate="print"/>
                    <a:srcRect/>
                    <a:stretch>
                      <a:fillRect/>
                    </a:stretch>
                  </pic:blipFill>
                  <pic:spPr>
                    <a:xfrm>
                      <a:off x="0" y="0"/>
                      <a:ext cx="8863330" cy="4910032"/>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rPr>
          <w:rFonts w:ascii="宋体" w:hAnsi="宋体" w:eastAsia="宋体" w:cs="宋体"/>
        </w:rPr>
      </w:pPr>
    </w:p>
    <w:p>
      <w:pPr>
        <w:autoSpaceDE w:val="0"/>
        <w:autoSpaceDN w:val="0"/>
        <w:adjustRightInd w:val="0"/>
        <w:spacing w:line="360" w:lineRule="auto"/>
        <w:jc w:val="left"/>
        <w:rPr>
          <w:rFonts w:ascii="宋体" w:hAnsi="宋体" w:eastAsia="宋体" w:cs="宋体"/>
        </w:rPr>
      </w:pPr>
      <w:r>
        <w:rPr>
          <w:rFonts w:hint="eastAsia" w:ascii="宋体" w:hAnsi="宋体" w:eastAsia="宋体" w:cs="宋体"/>
        </w:rPr>
        <w:drawing>
          <wp:inline distT="0" distB="0" distL="0" distR="0">
            <wp:extent cx="8863330" cy="5096510"/>
            <wp:effectExtent l="0" t="0" r="1270" b="889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20" cstate="print"/>
                    <a:srcRect/>
                    <a:stretch>
                      <a:fillRect/>
                    </a:stretch>
                  </pic:blipFill>
                  <pic:spPr>
                    <a:xfrm>
                      <a:off x="0" y="0"/>
                      <a:ext cx="8863330" cy="5096647"/>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rPr>
          <w:rFonts w:ascii="宋体" w:hAnsi="宋体" w:eastAsia="宋体" w:cs="宋体"/>
        </w:rPr>
      </w:pPr>
      <w:r>
        <w:rPr>
          <w:rFonts w:hint="eastAsia" w:ascii="宋体" w:hAnsi="宋体" w:eastAsia="宋体" w:cs="宋体"/>
        </w:rPr>
        <w:drawing>
          <wp:inline distT="0" distB="0" distL="0" distR="0">
            <wp:extent cx="8863330" cy="4436110"/>
            <wp:effectExtent l="0" t="0" r="1270" b="889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21" cstate="print"/>
                    <a:srcRect/>
                    <a:stretch>
                      <a:fillRect/>
                    </a:stretch>
                  </pic:blipFill>
                  <pic:spPr>
                    <a:xfrm>
                      <a:off x="0" y="0"/>
                      <a:ext cx="8863330" cy="4436155"/>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rPr>
          <w:rFonts w:ascii="宋体" w:hAnsi="宋体" w:eastAsia="宋体" w:cs="宋体"/>
        </w:rPr>
      </w:pPr>
    </w:p>
    <w:p>
      <w:pPr>
        <w:autoSpaceDE w:val="0"/>
        <w:autoSpaceDN w:val="0"/>
        <w:adjustRightInd w:val="0"/>
        <w:spacing w:line="360" w:lineRule="auto"/>
        <w:jc w:val="left"/>
        <w:rPr>
          <w:rFonts w:ascii="宋体" w:hAnsi="宋体" w:eastAsia="宋体" w:cs="宋体"/>
        </w:rPr>
      </w:pPr>
    </w:p>
    <w:p>
      <w:pPr>
        <w:autoSpaceDE w:val="0"/>
        <w:autoSpaceDN w:val="0"/>
        <w:adjustRightInd w:val="0"/>
        <w:spacing w:line="360" w:lineRule="auto"/>
        <w:jc w:val="left"/>
        <w:rPr>
          <w:rFonts w:ascii="宋体" w:hAnsi="宋体" w:eastAsia="宋体" w:cs="宋体"/>
        </w:rPr>
      </w:pPr>
      <w:r>
        <w:rPr>
          <w:rFonts w:hint="eastAsia" w:ascii="宋体" w:hAnsi="宋体" w:eastAsia="宋体" w:cs="宋体"/>
        </w:rPr>
        <w:drawing>
          <wp:inline distT="0" distB="0" distL="0" distR="0">
            <wp:extent cx="8863330" cy="4958080"/>
            <wp:effectExtent l="0" t="0" r="1270" b="762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22" cstate="print"/>
                    <a:srcRect/>
                    <a:stretch>
                      <a:fillRect/>
                    </a:stretch>
                  </pic:blipFill>
                  <pic:spPr>
                    <a:xfrm>
                      <a:off x="0" y="0"/>
                      <a:ext cx="8863330" cy="4958379"/>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rPr>
          <w:rFonts w:ascii="宋体" w:hAnsi="宋体" w:eastAsia="宋体" w:cs="宋体"/>
        </w:rPr>
      </w:pPr>
      <w:r>
        <w:rPr>
          <w:rFonts w:hint="eastAsia" w:ascii="宋体" w:hAnsi="宋体" w:eastAsia="宋体" w:cs="宋体"/>
        </w:rPr>
        <w:drawing>
          <wp:inline distT="0" distB="0" distL="0" distR="0">
            <wp:extent cx="8863330" cy="5036820"/>
            <wp:effectExtent l="0" t="0" r="1270" b="508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23" cstate="print"/>
                    <a:srcRect/>
                    <a:stretch>
                      <a:fillRect/>
                    </a:stretch>
                  </pic:blipFill>
                  <pic:spPr>
                    <a:xfrm>
                      <a:off x="0" y="0"/>
                      <a:ext cx="8863330" cy="5037432"/>
                    </a:xfrm>
                    <a:prstGeom prst="rect">
                      <a:avLst/>
                    </a:prstGeom>
                    <a:noFill/>
                    <a:ln w="9525">
                      <a:noFill/>
                      <a:miter lim="800000"/>
                      <a:headEnd/>
                      <a:tailEnd/>
                    </a:ln>
                  </pic:spPr>
                </pic:pic>
              </a:graphicData>
            </a:graphic>
          </wp:inline>
        </w:drawing>
      </w:r>
    </w:p>
    <w:p>
      <w:pPr>
        <w:autoSpaceDE w:val="0"/>
        <w:autoSpaceDN w:val="0"/>
        <w:adjustRightInd w:val="0"/>
        <w:spacing w:line="360" w:lineRule="auto"/>
        <w:jc w:val="left"/>
        <w:rPr>
          <w:rFonts w:ascii="宋体" w:hAnsi="宋体" w:eastAsia="宋体" w:cs="宋体"/>
        </w:rPr>
      </w:pPr>
      <w:r>
        <w:drawing>
          <wp:inline distT="0" distB="0" distL="0" distR="0">
            <wp:extent cx="8851900" cy="908050"/>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a:stretch>
                      <a:fillRect/>
                    </a:stretch>
                  </pic:blipFill>
                  <pic:spPr>
                    <a:xfrm>
                      <a:off x="0" y="0"/>
                      <a:ext cx="8852355" cy="908097"/>
                    </a:xfrm>
                    <a:prstGeom prst="rect">
                      <a:avLst/>
                    </a:prstGeom>
                  </pic:spPr>
                </pic:pic>
              </a:graphicData>
            </a:graphic>
          </wp:inline>
        </w:drawing>
      </w:r>
    </w:p>
    <w:p>
      <w:pPr>
        <w:autoSpaceDE w:val="0"/>
        <w:autoSpaceDN w:val="0"/>
        <w:adjustRightInd w:val="0"/>
        <w:spacing w:line="360" w:lineRule="auto"/>
        <w:jc w:val="left"/>
        <w:rPr>
          <w:rFonts w:ascii="宋体" w:hAnsi="宋体" w:eastAsia="宋体" w:cs="宋体"/>
        </w:rPr>
      </w:pPr>
    </w:p>
    <w:p>
      <w:pPr>
        <w:autoSpaceDE w:val="0"/>
        <w:autoSpaceDN w:val="0"/>
        <w:adjustRightInd w:val="0"/>
        <w:spacing w:line="360" w:lineRule="auto"/>
        <w:jc w:val="left"/>
        <w:rPr>
          <w:rFonts w:ascii="宋体" w:hAnsi="宋体" w:eastAsia="宋体" w:cs="宋体"/>
          <w:b/>
          <w:bCs/>
          <w:kern w:val="0"/>
          <w:sz w:val="30"/>
          <w:szCs w:val="30"/>
        </w:rPr>
      </w:pPr>
      <w:r>
        <w:rPr>
          <w:rFonts w:hint="eastAsia" w:ascii="宋体" w:hAnsi="宋体" w:eastAsia="宋体" w:cs="宋体"/>
          <w:b/>
          <w:bCs/>
          <w:kern w:val="0"/>
          <w:sz w:val="30"/>
          <w:szCs w:val="30"/>
        </w:rPr>
        <w:t>表2：我国图书馆业务部门设置调查分析表</w:t>
      </w:r>
    </w:p>
    <w:tbl>
      <w:tblPr>
        <w:tblStyle w:val="11"/>
        <w:tblW w:w="141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3225"/>
        <w:gridCol w:w="1241"/>
        <w:gridCol w:w="7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trPr>
        <w:tc>
          <w:tcPr>
            <w:tcW w:w="1710" w:type="dxa"/>
            <w:vAlign w:val="center"/>
          </w:tcPr>
          <w:p>
            <w:pPr>
              <w:autoSpaceDE w:val="0"/>
              <w:autoSpaceDN w:val="0"/>
              <w:adjustRightInd w:val="0"/>
              <w:spacing w:line="360" w:lineRule="auto"/>
              <w:jc w:val="center"/>
              <w:rPr>
                <w:rFonts w:ascii="宋体" w:hAnsi="宋体" w:eastAsia="宋体" w:cs="宋体"/>
                <w:b/>
                <w:bCs/>
                <w:kern w:val="0"/>
                <w:sz w:val="28"/>
                <w:szCs w:val="28"/>
              </w:rPr>
            </w:pPr>
            <w:r>
              <w:rPr>
                <w:rFonts w:hint="eastAsia" w:ascii="宋体" w:hAnsi="宋体" w:eastAsia="宋体" w:cs="宋体"/>
                <w:b/>
                <w:bCs/>
                <w:kern w:val="0"/>
                <w:sz w:val="28"/>
                <w:szCs w:val="28"/>
              </w:rPr>
              <w:t>业务范畴</w:t>
            </w:r>
          </w:p>
        </w:tc>
        <w:tc>
          <w:tcPr>
            <w:tcW w:w="3225" w:type="dxa"/>
            <w:vAlign w:val="center"/>
          </w:tcPr>
          <w:p>
            <w:pPr>
              <w:autoSpaceDE w:val="0"/>
              <w:autoSpaceDN w:val="0"/>
              <w:adjustRightInd w:val="0"/>
              <w:spacing w:line="360" w:lineRule="auto"/>
              <w:jc w:val="center"/>
              <w:rPr>
                <w:rFonts w:ascii="宋体" w:hAnsi="宋体" w:eastAsia="宋体" w:cs="宋体"/>
                <w:b/>
                <w:bCs/>
                <w:kern w:val="0"/>
                <w:sz w:val="28"/>
                <w:szCs w:val="28"/>
              </w:rPr>
            </w:pPr>
            <w:r>
              <w:rPr>
                <w:rFonts w:hint="eastAsia" w:ascii="宋体" w:hAnsi="宋体" w:eastAsia="宋体" w:cs="宋体"/>
                <w:b/>
                <w:bCs/>
                <w:kern w:val="0"/>
                <w:sz w:val="28"/>
                <w:szCs w:val="28"/>
              </w:rPr>
              <w:t>传统业务部门通用名称</w:t>
            </w:r>
          </w:p>
        </w:tc>
        <w:tc>
          <w:tcPr>
            <w:tcW w:w="9236" w:type="dxa"/>
            <w:gridSpan w:val="2"/>
            <w:vAlign w:val="center"/>
          </w:tcPr>
          <w:p>
            <w:pPr>
              <w:autoSpaceDE w:val="0"/>
              <w:autoSpaceDN w:val="0"/>
              <w:adjustRightInd w:val="0"/>
              <w:spacing w:line="360" w:lineRule="auto"/>
              <w:jc w:val="center"/>
              <w:rPr>
                <w:rFonts w:ascii="宋体" w:hAnsi="宋体" w:eastAsia="宋体" w:cs="宋体"/>
                <w:b/>
                <w:bCs/>
                <w:kern w:val="0"/>
                <w:sz w:val="28"/>
                <w:szCs w:val="28"/>
              </w:rPr>
            </w:pPr>
            <w:r>
              <w:rPr>
                <w:rFonts w:hint="eastAsia" w:ascii="宋体" w:hAnsi="宋体" w:eastAsia="宋体" w:cs="宋体"/>
                <w:b/>
                <w:bCs/>
                <w:kern w:val="0"/>
                <w:sz w:val="28"/>
                <w:szCs w:val="28"/>
              </w:rPr>
              <w:t>传统业务衍生、新增部门名称及所在图书馆举例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vMerge w:val="restart"/>
            <w:vAlign w:val="center"/>
          </w:tcPr>
          <w:p>
            <w:pPr>
              <w:autoSpaceDE w:val="0"/>
              <w:autoSpaceDN w:val="0"/>
              <w:adjustRightInd w:val="0"/>
              <w:spacing w:line="360" w:lineRule="auto"/>
              <w:jc w:val="center"/>
              <w:rPr>
                <w:rFonts w:ascii="宋体" w:hAnsi="宋体" w:eastAsia="宋体" w:cs="宋体"/>
                <w:b/>
                <w:bCs/>
                <w:kern w:val="0"/>
                <w:sz w:val="24"/>
                <w:szCs w:val="24"/>
              </w:rPr>
            </w:pPr>
            <w:r>
              <w:rPr>
                <w:rFonts w:hint="eastAsia" w:ascii="宋体" w:hAnsi="宋体" w:eastAsia="宋体" w:cs="宋体"/>
                <w:b/>
                <w:bCs/>
                <w:kern w:val="0"/>
                <w:sz w:val="24"/>
                <w:szCs w:val="24"/>
              </w:rPr>
              <w:t>信息</w:t>
            </w:r>
          </w:p>
          <w:p>
            <w:pPr>
              <w:autoSpaceDE w:val="0"/>
              <w:autoSpaceDN w:val="0"/>
              <w:adjustRightInd w:val="0"/>
              <w:spacing w:line="360" w:lineRule="auto"/>
              <w:jc w:val="center"/>
              <w:rPr>
                <w:rFonts w:ascii="宋体" w:hAnsi="宋体" w:eastAsia="宋体" w:cs="宋体"/>
                <w:b/>
                <w:bCs/>
                <w:kern w:val="0"/>
                <w:sz w:val="24"/>
                <w:szCs w:val="24"/>
              </w:rPr>
            </w:pPr>
            <w:r>
              <w:rPr>
                <w:rFonts w:hint="eastAsia" w:ascii="宋体" w:hAnsi="宋体" w:eastAsia="宋体" w:cs="宋体"/>
                <w:b/>
                <w:bCs/>
                <w:kern w:val="0"/>
                <w:sz w:val="24"/>
                <w:szCs w:val="24"/>
              </w:rPr>
              <w:t>技术</w:t>
            </w:r>
          </w:p>
          <w:p>
            <w:pPr>
              <w:autoSpaceDE w:val="0"/>
              <w:autoSpaceDN w:val="0"/>
              <w:adjustRightInd w:val="0"/>
              <w:spacing w:line="360" w:lineRule="auto"/>
              <w:jc w:val="center"/>
              <w:rPr>
                <w:rFonts w:ascii="宋体" w:hAnsi="宋体" w:eastAsia="宋体" w:cs="宋体"/>
                <w:b/>
                <w:bCs/>
                <w:kern w:val="0"/>
                <w:sz w:val="24"/>
                <w:szCs w:val="24"/>
              </w:rPr>
            </w:pPr>
            <w:r>
              <w:rPr>
                <w:rFonts w:hint="eastAsia" w:ascii="宋体" w:hAnsi="宋体" w:eastAsia="宋体" w:cs="宋体"/>
                <w:b/>
                <w:bCs/>
                <w:kern w:val="0"/>
                <w:sz w:val="24"/>
                <w:szCs w:val="24"/>
              </w:rPr>
              <w:t>支撑</w:t>
            </w:r>
          </w:p>
        </w:tc>
        <w:tc>
          <w:tcPr>
            <w:tcW w:w="3225" w:type="dxa"/>
            <w:vMerge w:val="restart"/>
            <w:vAlign w:val="center"/>
          </w:tcPr>
          <w:p>
            <w:pPr>
              <w:autoSpaceDE w:val="0"/>
              <w:autoSpaceDN w:val="0"/>
              <w:adjustRightInd w:val="0"/>
              <w:spacing w:line="360" w:lineRule="auto"/>
              <w:rPr>
                <w:rFonts w:ascii="宋体" w:hAnsi="宋体" w:eastAsia="宋体" w:cs="宋体"/>
                <w:kern w:val="0"/>
                <w:szCs w:val="21"/>
              </w:rPr>
            </w:pPr>
            <w:r>
              <w:rPr>
                <w:rFonts w:hint="eastAsia" w:ascii="宋体" w:hAnsi="宋体" w:eastAsia="宋体" w:cs="宋体"/>
                <w:kern w:val="0"/>
                <w:szCs w:val="21"/>
              </w:rPr>
              <w:t>技术部、技术服务部、技术保障部、系统部、网络部、信息技术部等</w:t>
            </w:r>
          </w:p>
        </w:tc>
        <w:tc>
          <w:tcPr>
            <w:tcW w:w="1241" w:type="dxa"/>
            <w:vAlign w:val="center"/>
          </w:tcPr>
          <w:p>
            <w:pPr>
              <w:autoSpaceDE w:val="0"/>
              <w:autoSpaceDN w:val="0"/>
              <w:adjustRightInd w:val="0"/>
              <w:spacing w:line="360" w:lineRule="auto"/>
              <w:jc w:val="center"/>
              <w:rPr>
                <w:rFonts w:ascii="宋体" w:hAnsi="宋体" w:eastAsia="宋体" w:cs="宋体"/>
                <w:kern w:val="0"/>
                <w:szCs w:val="21"/>
              </w:rPr>
            </w:pPr>
            <w:r>
              <w:rPr>
                <w:rFonts w:hint="eastAsia" w:ascii="宋体" w:hAnsi="宋体" w:eastAsia="宋体" w:cs="宋体"/>
                <w:kern w:val="0"/>
                <w:szCs w:val="21"/>
              </w:rPr>
              <w:t>211</w:t>
            </w:r>
          </w:p>
          <w:p>
            <w:pPr>
              <w:autoSpaceDE w:val="0"/>
              <w:autoSpaceDN w:val="0"/>
              <w:adjustRightInd w:val="0"/>
              <w:spacing w:line="360" w:lineRule="auto"/>
              <w:jc w:val="center"/>
              <w:rPr>
                <w:rFonts w:ascii="宋体" w:hAnsi="宋体" w:eastAsia="宋体" w:cs="宋体"/>
                <w:kern w:val="0"/>
                <w:szCs w:val="21"/>
              </w:rPr>
            </w:pPr>
            <w:r>
              <w:rPr>
                <w:rFonts w:hint="eastAsia" w:ascii="宋体" w:hAnsi="宋体" w:eastAsia="宋体" w:cs="宋体"/>
                <w:kern w:val="0"/>
                <w:szCs w:val="21"/>
              </w:rPr>
              <w:t>高等</w:t>
            </w:r>
          </w:p>
          <w:p>
            <w:pPr>
              <w:autoSpaceDE w:val="0"/>
              <w:autoSpaceDN w:val="0"/>
              <w:adjustRightInd w:val="0"/>
              <w:spacing w:line="360" w:lineRule="auto"/>
              <w:jc w:val="center"/>
              <w:rPr>
                <w:rFonts w:ascii="宋体" w:hAnsi="宋体" w:eastAsia="宋体" w:cs="宋体"/>
                <w:kern w:val="0"/>
                <w:szCs w:val="21"/>
              </w:rPr>
            </w:pPr>
            <w:r>
              <w:rPr>
                <w:rFonts w:hint="eastAsia" w:ascii="宋体" w:hAnsi="宋体" w:eastAsia="宋体" w:cs="宋体"/>
                <w:kern w:val="0"/>
                <w:szCs w:val="21"/>
              </w:rPr>
              <w:t>学校</w:t>
            </w:r>
          </w:p>
        </w:tc>
        <w:tc>
          <w:tcPr>
            <w:tcW w:w="7995" w:type="dxa"/>
            <w:vAlign w:val="center"/>
          </w:tcPr>
          <w:p>
            <w:pPr>
              <w:autoSpaceDE w:val="0"/>
              <w:autoSpaceDN w:val="0"/>
              <w:adjustRightInd w:val="0"/>
              <w:spacing w:line="360" w:lineRule="auto"/>
              <w:rPr>
                <w:rFonts w:ascii="宋体" w:hAnsi="宋体" w:eastAsia="宋体" w:cs="宋体"/>
                <w:kern w:val="0"/>
                <w:szCs w:val="21"/>
              </w:rPr>
            </w:pPr>
            <w:r>
              <w:rPr>
                <w:rFonts w:hint="eastAsia" w:ascii="宋体" w:hAnsi="宋体" w:eastAsia="宋体" w:cs="宋体"/>
                <w:kern w:val="0"/>
                <w:szCs w:val="21"/>
              </w:rPr>
              <w:t>计算服务中心（北京大学）、平台与数据中心（浙江大学）</w:t>
            </w:r>
          </w:p>
          <w:p>
            <w:pPr>
              <w:autoSpaceDE w:val="0"/>
              <w:autoSpaceDN w:val="0"/>
              <w:adjustRightInd w:val="0"/>
              <w:spacing w:line="360" w:lineRule="auto"/>
              <w:rPr>
                <w:rFonts w:ascii="宋体" w:hAnsi="宋体" w:eastAsia="宋体" w:cs="宋体"/>
                <w:kern w:val="0"/>
                <w:szCs w:val="21"/>
              </w:rPr>
            </w:pPr>
            <w:r>
              <w:rPr>
                <w:rFonts w:hint="eastAsia" w:ascii="宋体" w:hAnsi="宋体" w:eastAsia="宋体" w:cs="宋体"/>
                <w:kern w:val="0"/>
                <w:szCs w:val="21"/>
              </w:rPr>
              <w:t>平台与技术支撑部（上海交通大学）、技术支持中心（武汉大学）、平台与技术支持部（华东师范大学）、信息技术中心（四川大学）、技术支持中心（中国政法大学）、数据管理与技术部（复旦大学）、平台与数据服务部（同济大学等</w:t>
            </w:r>
          </w:p>
          <w:p>
            <w:pPr>
              <w:autoSpaceDE w:val="0"/>
              <w:autoSpaceDN w:val="0"/>
              <w:adjustRightInd w:val="0"/>
              <w:spacing w:line="360" w:lineRule="auto"/>
              <w:rPr>
                <w:rFonts w:ascii="宋体" w:hAnsi="宋体" w:eastAsia="宋体" w:cs="宋体"/>
                <w:kern w:val="0"/>
                <w:szCs w:val="21"/>
              </w:rPr>
            </w:pPr>
          </w:p>
          <w:p>
            <w:pPr>
              <w:autoSpaceDE w:val="0"/>
              <w:autoSpaceDN w:val="0"/>
              <w:adjustRightInd w:val="0"/>
              <w:spacing w:line="360" w:lineRule="auto"/>
              <w:rPr>
                <w:rFonts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vMerge w:val="continue"/>
            <w:vAlign w:val="center"/>
          </w:tcPr>
          <w:p>
            <w:pPr>
              <w:autoSpaceDE w:val="0"/>
              <w:autoSpaceDN w:val="0"/>
              <w:adjustRightInd w:val="0"/>
              <w:spacing w:line="360" w:lineRule="auto"/>
              <w:jc w:val="center"/>
              <w:rPr>
                <w:rFonts w:ascii="宋体" w:hAnsi="宋体" w:eastAsia="宋体" w:cs="宋体"/>
                <w:b/>
                <w:bCs/>
                <w:kern w:val="0"/>
                <w:sz w:val="28"/>
                <w:szCs w:val="28"/>
              </w:rPr>
            </w:pPr>
          </w:p>
        </w:tc>
        <w:tc>
          <w:tcPr>
            <w:tcW w:w="3225" w:type="dxa"/>
            <w:vMerge w:val="continue"/>
            <w:vAlign w:val="center"/>
          </w:tcPr>
          <w:p>
            <w:pPr>
              <w:autoSpaceDE w:val="0"/>
              <w:autoSpaceDN w:val="0"/>
              <w:adjustRightInd w:val="0"/>
              <w:spacing w:line="360" w:lineRule="auto"/>
              <w:jc w:val="center"/>
              <w:rPr>
                <w:rFonts w:ascii="宋体" w:hAnsi="宋体" w:eastAsia="宋体" w:cs="宋体"/>
                <w:b/>
                <w:bCs/>
                <w:kern w:val="0"/>
                <w:sz w:val="28"/>
                <w:szCs w:val="28"/>
              </w:rPr>
            </w:pPr>
          </w:p>
        </w:tc>
        <w:tc>
          <w:tcPr>
            <w:tcW w:w="1241" w:type="dxa"/>
            <w:vAlign w:val="center"/>
          </w:tcPr>
          <w:p>
            <w:pPr>
              <w:autoSpaceDE w:val="0"/>
              <w:autoSpaceDN w:val="0"/>
              <w:adjustRightInd w:val="0"/>
              <w:spacing w:line="360" w:lineRule="auto"/>
              <w:jc w:val="center"/>
              <w:rPr>
                <w:rFonts w:ascii="宋体" w:hAnsi="宋体" w:eastAsia="宋体" w:cs="宋体"/>
                <w:kern w:val="0"/>
                <w:szCs w:val="21"/>
              </w:rPr>
            </w:pPr>
            <w:r>
              <w:rPr>
                <w:rFonts w:hint="eastAsia" w:ascii="宋体" w:hAnsi="宋体" w:eastAsia="宋体" w:cs="宋体"/>
                <w:kern w:val="0"/>
                <w:szCs w:val="21"/>
              </w:rPr>
              <w:t>农业</w:t>
            </w:r>
          </w:p>
          <w:p>
            <w:pPr>
              <w:autoSpaceDE w:val="0"/>
              <w:autoSpaceDN w:val="0"/>
              <w:adjustRightInd w:val="0"/>
              <w:spacing w:line="360" w:lineRule="auto"/>
              <w:jc w:val="center"/>
              <w:rPr>
                <w:rFonts w:ascii="宋体" w:hAnsi="宋体" w:eastAsia="宋体" w:cs="宋体"/>
                <w:kern w:val="0"/>
                <w:szCs w:val="21"/>
              </w:rPr>
            </w:pPr>
            <w:r>
              <w:rPr>
                <w:rFonts w:hint="eastAsia" w:ascii="宋体" w:hAnsi="宋体" w:eastAsia="宋体" w:cs="宋体"/>
                <w:kern w:val="0"/>
                <w:szCs w:val="21"/>
              </w:rPr>
              <w:t>高等</w:t>
            </w:r>
          </w:p>
          <w:p>
            <w:pPr>
              <w:autoSpaceDE w:val="0"/>
              <w:autoSpaceDN w:val="0"/>
              <w:adjustRightInd w:val="0"/>
              <w:spacing w:line="360" w:lineRule="auto"/>
              <w:jc w:val="center"/>
              <w:rPr>
                <w:rFonts w:ascii="宋体" w:hAnsi="宋体" w:eastAsia="宋体" w:cs="宋体"/>
                <w:kern w:val="0"/>
                <w:szCs w:val="21"/>
              </w:rPr>
            </w:pPr>
            <w:r>
              <w:rPr>
                <w:rFonts w:hint="eastAsia" w:ascii="宋体" w:hAnsi="宋体" w:eastAsia="宋体" w:cs="宋体"/>
                <w:kern w:val="0"/>
                <w:szCs w:val="21"/>
              </w:rPr>
              <w:t>学校</w:t>
            </w:r>
          </w:p>
        </w:tc>
        <w:tc>
          <w:tcPr>
            <w:tcW w:w="7995" w:type="dxa"/>
            <w:vAlign w:val="center"/>
          </w:tcPr>
          <w:p>
            <w:pPr>
              <w:autoSpaceDE w:val="0"/>
              <w:autoSpaceDN w:val="0"/>
              <w:adjustRightInd w:val="0"/>
              <w:spacing w:line="360" w:lineRule="auto"/>
              <w:rPr>
                <w:rFonts w:ascii="宋体" w:hAnsi="宋体" w:eastAsia="宋体" w:cs="宋体"/>
                <w:kern w:val="0"/>
                <w:szCs w:val="21"/>
              </w:rPr>
            </w:pPr>
            <w:r>
              <w:rPr>
                <w:rFonts w:hint="eastAsia" w:ascii="宋体" w:hAnsi="宋体" w:eastAsia="宋体" w:cs="宋体"/>
                <w:kern w:val="0"/>
                <w:szCs w:val="21"/>
              </w:rPr>
              <w:t>数字技术部（福建农林大学）、系统与数字化部（中国农业大学、安徽农业大学）、信息共享中心（华南热带农业大学）、信息技术中心（青岛农业大学）、网络运营部、信息应用部（南京农业大学）、技术支持部（西南农业大学）</w:t>
            </w:r>
          </w:p>
          <w:p>
            <w:pPr>
              <w:autoSpaceDE w:val="0"/>
              <w:autoSpaceDN w:val="0"/>
              <w:adjustRightInd w:val="0"/>
              <w:spacing w:line="360" w:lineRule="auto"/>
              <w:rPr>
                <w:rFonts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vAlign w:val="center"/>
          </w:tcPr>
          <w:p>
            <w:pPr>
              <w:autoSpaceDE w:val="0"/>
              <w:autoSpaceDN w:val="0"/>
              <w:adjustRightInd w:val="0"/>
              <w:spacing w:line="360" w:lineRule="auto"/>
              <w:jc w:val="center"/>
              <w:rPr>
                <w:rFonts w:ascii="宋体" w:hAnsi="宋体" w:eastAsia="宋体" w:cs="宋体"/>
                <w:b/>
                <w:bCs/>
                <w:kern w:val="0"/>
                <w:sz w:val="28"/>
                <w:szCs w:val="28"/>
              </w:rPr>
            </w:pPr>
            <w:r>
              <w:rPr>
                <w:rFonts w:hint="eastAsia" w:ascii="宋体" w:hAnsi="宋体" w:eastAsia="宋体" w:cs="宋体"/>
                <w:b/>
                <w:bCs/>
                <w:kern w:val="0"/>
                <w:sz w:val="28"/>
                <w:szCs w:val="28"/>
              </w:rPr>
              <w:t>业务范畴</w:t>
            </w:r>
          </w:p>
        </w:tc>
        <w:tc>
          <w:tcPr>
            <w:tcW w:w="3225" w:type="dxa"/>
            <w:vAlign w:val="center"/>
          </w:tcPr>
          <w:p>
            <w:pPr>
              <w:autoSpaceDE w:val="0"/>
              <w:autoSpaceDN w:val="0"/>
              <w:adjustRightInd w:val="0"/>
              <w:spacing w:line="360" w:lineRule="auto"/>
              <w:jc w:val="center"/>
              <w:rPr>
                <w:rFonts w:ascii="宋体" w:hAnsi="宋体" w:eastAsia="宋体" w:cs="宋体"/>
                <w:b/>
                <w:bCs/>
                <w:kern w:val="0"/>
                <w:sz w:val="28"/>
                <w:szCs w:val="28"/>
              </w:rPr>
            </w:pPr>
            <w:r>
              <w:rPr>
                <w:rFonts w:hint="eastAsia" w:ascii="宋体" w:hAnsi="宋体" w:eastAsia="宋体" w:cs="宋体"/>
                <w:b/>
                <w:bCs/>
                <w:kern w:val="0"/>
                <w:sz w:val="28"/>
                <w:szCs w:val="28"/>
              </w:rPr>
              <w:t>传统业务部门通用名称</w:t>
            </w:r>
          </w:p>
        </w:tc>
        <w:tc>
          <w:tcPr>
            <w:tcW w:w="9236" w:type="dxa"/>
            <w:gridSpan w:val="2"/>
            <w:vAlign w:val="center"/>
          </w:tcPr>
          <w:p>
            <w:pPr>
              <w:autoSpaceDE w:val="0"/>
              <w:autoSpaceDN w:val="0"/>
              <w:adjustRightInd w:val="0"/>
              <w:spacing w:line="360" w:lineRule="auto"/>
              <w:jc w:val="center"/>
              <w:rPr>
                <w:rFonts w:ascii="宋体" w:hAnsi="宋体" w:eastAsia="宋体" w:cs="宋体"/>
                <w:kern w:val="0"/>
                <w:szCs w:val="21"/>
              </w:rPr>
            </w:pPr>
            <w:r>
              <w:rPr>
                <w:rFonts w:hint="eastAsia" w:ascii="宋体" w:hAnsi="宋体" w:eastAsia="宋体" w:cs="宋体"/>
                <w:b/>
                <w:bCs/>
                <w:kern w:val="0"/>
                <w:sz w:val="28"/>
                <w:szCs w:val="28"/>
              </w:rPr>
              <w:t>传统业务衍生、新增部门名称及所在图书馆举例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trPr>
        <w:tc>
          <w:tcPr>
            <w:tcW w:w="1710" w:type="dxa"/>
            <w:vMerge w:val="restart"/>
            <w:vAlign w:val="center"/>
          </w:tcPr>
          <w:p>
            <w:pPr>
              <w:autoSpaceDE w:val="0"/>
              <w:autoSpaceDN w:val="0"/>
              <w:adjustRightInd w:val="0"/>
              <w:spacing w:line="360" w:lineRule="auto"/>
              <w:jc w:val="center"/>
              <w:rPr>
                <w:rFonts w:ascii="宋体" w:hAnsi="宋体" w:eastAsia="宋体" w:cs="宋体"/>
                <w:b/>
                <w:bCs/>
                <w:kern w:val="0"/>
                <w:sz w:val="24"/>
                <w:szCs w:val="24"/>
              </w:rPr>
            </w:pPr>
            <w:r>
              <w:rPr>
                <w:rFonts w:hint="eastAsia" w:ascii="宋体" w:hAnsi="宋体" w:eastAsia="宋体" w:cs="宋体"/>
                <w:b/>
                <w:bCs/>
                <w:kern w:val="0"/>
                <w:sz w:val="24"/>
                <w:szCs w:val="24"/>
              </w:rPr>
              <w:t>信息</w:t>
            </w:r>
          </w:p>
          <w:p>
            <w:pPr>
              <w:autoSpaceDE w:val="0"/>
              <w:autoSpaceDN w:val="0"/>
              <w:adjustRightInd w:val="0"/>
              <w:spacing w:line="360" w:lineRule="auto"/>
              <w:jc w:val="center"/>
              <w:rPr>
                <w:rFonts w:ascii="宋体" w:hAnsi="宋体" w:eastAsia="宋体" w:cs="宋体"/>
                <w:b/>
                <w:bCs/>
                <w:kern w:val="0"/>
                <w:sz w:val="24"/>
                <w:szCs w:val="24"/>
              </w:rPr>
            </w:pPr>
            <w:r>
              <w:rPr>
                <w:rFonts w:hint="eastAsia" w:ascii="宋体" w:hAnsi="宋体" w:eastAsia="宋体" w:cs="宋体"/>
                <w:b/>
                <w:bCs/>
                <w:kern w:val="0"/>
                <w:sz w:val="24"/>
                <w:szCs w:val="24"/>
              </w:rPr>
              <w:t>资源</w:t>
            </w:r>
          </w:p>
          <w:p>
            <w:pPr>
              <w:autoSpaceDE w:val="0"/>
              <w:autoSpaceDN w:val="0"/>
              <w:adjustRightInd w:val="0"/>
              <w:spacing w:line="360" w:lineRule="auto"/>
              <w:jc w:val="center"/>
              <w:rPr>
                <w:rFonts w:ascii="宋体" w:hAnsi="宋体" w:eastAsia="宋体" w:cs="宋体"/>
                <w:b/>
                <w:bCs/>
                <w:kern w:val="0"/>
                <w:sz w:val="24"/>
                <w:szCs w:val="24"/>
              </w:rPr>
            </w:pPr>
            <w:r>
              <w:rPr>
                <w:rFonts w:hint="eastAsia" w:ascii="宋体" w:hAnsi="宋体" w:eastAsia="宋体" w:cs="宋体"/>
                <w:b/>
                <w:bCs/>
                <w:kern w:val="0"/>
                <w:sz w:val="24"/>
                <w:szCs w:val="24"/>
              </w:rPr>
              <w:t>建设</w:t>
            </w:r>
          </w:p>
          <w:p>
            <w:pPr>
              <w:autoSpaceDE w:val="0"/>
              <w:autoSpaceDN w:val="0"/>
              <w:adjustRightInd w:val="0"/>
              <w:spacing w:line="360" w:lineRule="auto"/>
              <w:jc w:val="center"/>
              <w:rPr>
                <w:rFonts w:ascii="宋体" w:hAnsi="宋体" w:eastAsia="宋体" w:cs="宋体"/>
                <w:b/>
                <w:bCs/>
                <w:kern w:val="0"/>
                <w:sz w:val="24"/>
                <w:szCs w:val="24"/>
              </w:rPr>
            </w:pPr>
            <w:r>
              <w:rPr>
                <w:rFonts w:hint="eastAsia" w:ascii="宋体" w:hAnsi="宋体" w:eastAsia="宋体" w:cs="宋体"/>
                <w:b/>
                <w:bCs/>
                <w:kern w:val="0"/>
                <w:sz w:val="24"/>
                <w:szCs w:val="24"/>
              </w:rPr>
              <w:t>信息</w:t>
            </w:r>
          </w:p>
          <w:p>
            <w:pPr>
              <w:autoSpaceDE w:val="0"/>
              <w:autoSpaceDN w:val="0"/>
              <w:adjustRightInd w:val="0"/>
              <w:spacing w:line="360" w:lineRule="auto"/>
              <w:jc w:val="center"/>
              <w:rPr>
                <w:rFonts w:ascii="宋体" w:hAnsi="宋体" w:eastAsia="宋体" w:cs="宋体"/>
                <w:b/>
                <w:bCs/>
                <w:kern w:val="0"/>
                <w:sz w:val="24"/>
                <w:szCs w:val="24"/>
              </w:rPr>
            </w:pPr>
            <w:r>
              <w:rPr>
                <w:rFonts w:hint="eastAsia" w:ascii="宋体" w:hAnsi="宋体" w:eastAsia="宋体" w:cs="宋体"/>
                <w:b/>
                <w:bCs/>
                <w:kern w:val="0"/>
                <w:sz w:val="24"/>
                <w:szCs w:val="24"/>
              </w:rPr>
              <w:t>组织</w:t>
            </w:r>
          </w:p>
        </w:tc>
        <w:tc>
          <w:tcPr>
            <w:tcW w:w="3225" w:type="dxa"/>
            <w:vMerge w:val="restart"/>
            <w:vAlign w:val="center"/>
          </w:tcPr>
          <w:p>
            <w:pPr>
              <w:autoSpaceDE w:val="0"/>
              <w:autoSpaceDN w:val="0"/>
              <w:adjustRightInd w:val="0"/>
              <w:spacing w:line="360" w:lineRule="auto"/>
              <w:rPr>
                <w:rFonts w:ascii="宋体" w:hAnsi="宋体" w:eastAsia="宋体" w:cs="宋体"/>
                <w:kern w:val="0"/>
                <w:szCs w:val="21"/>
              </w:rPr>
            </w:pPr>
            <w:r>
              <w:rPr>
                <w:rFonts w:hint="eastAsia" w:ascii="宋体" w:hAnsi="宋体" w:eastAsia="宋体" w:cs="宋体"/>
                <w:kern w:val="0"/>
                <w:szCs w:val="21"/>
              </w:rPr>
              <w:t>采编部、文献资源建设部、</w:t>
            </w:r>
          </w:p>
          <w:p>
            <w:pPr>
              <w:autoSpaceDE w:val="0"/>
              <w:autoSpaceDN w:val="0"/>
              <w:adjustRightInd w:val="0"/>
              <w:spacing w:line="360" w:lineRule="auto"/>
              <w:rPr>
                <w:rFonts w:ascii="宋体" w:hAnsi="宋体" w:eastAsia="宋体" w:cs="宋体"/>
                <w:kern w:val="0"/>
                <w:szCs w:val="21"/>
              </w:rPr>
            </w:pPr>
            <w:r>
              <w:rPr>
                <w:rFonts w:hint="eastAsia" w:ascii="宋体" w:hAnsi="宋体" w:eastAsia="宋体" w:cs="宋体"/>
                <w:kern w:val="0"/>
                <w:szCs w:val="21"/>
              </w:rPr>
              <w:t>编目部、文献资源编目部、</w:t>
            </w:r>
          </w:p>
          <w:p>
            <w:pPr>
              <w:autoSpaceDE w:val="0"/>
              <w:autoSpaceDN w:val="0"/>
              <w:adjustRightInd w:val="0"/>
              <w:spacing w:line="360" w:lineRule="auto"/>
              <w:rPr>
                <w:rFonts w:ascii="宋体" w:hAnsi="宋体" w:eastAsia="宋体" w:cs="宋体"/>
                <w:kern w:val="0"/>
                <w:szCs w:val="21"/>
              </w:rPr>
            </w:pPr>
            <w:r>
              <w:rPr>
                <w:rFonts w:hint="eastAsia" w:ascii="宋体" w:hAnsi="宋体" w:eastAsia="宋体" w:cs="宋体"/>
                <w:kern w:val="0"/>
                <w:szCs w:val="21"/>
              </w:rPr>
              <w:t>古籍部、特藏部等</w:t>
            </w:r>
          </w:p>
        </w:tc>
        <w:tc>
          <w:tcPr>
            <w:tcW w:w="1241" w:type="dxa"/>
            <w:vAlign w:val="center"/>
          </w:tcPr>
          <w:p>
            <w:pPr>
              <w:autoSpaceDE w:val="0"/>
              <w:autoSpaceDN w:val="0"/>
              <w:adjustRightInd w:val="0"/>
              <w:spacing w:line="360" w:lineRule="auto"/>
              <w:jc w:val="center"/>
              <w:rPr>
                <w:rFonts w:ascii="宋体" w:hAnsi="宋体" w:eastAsia="宋体" w:cs="宋体"/>
                <w:kern w:val="0"/>
                <w:szCs w:val="21"/>
              </w:rPr>
            </w:pPr>
            <w:r>
              <w:rPr>
                <w:rFonts w:hint="eastAsia" w:ascii="宋体" w:hAnsi="宋体" w:eastAsia="宋体" w:cs="宋体"/>
                <w:kern w:val="0"/>
                <w:szCs w:val="21"/>
              </w:rPr>
              <w:t>211</w:t>
            </w:r>
          </w:p>
          <w:p>
            <w:pPr>
              <w:autoSpaceDE w:val="0"/>
              <w:autoSpaceDN w:val="0"/>
              <w:adjustRightInd w:val="0"/>
              <w:spacing w:line="360" w:lineRule="auto"/>
              <w:jc w:val="center"/>
              <w:rPr>
                <w:rFonts w:ascii="宋体" w:hAnsi="宋体" w:eastAsia="宋体" w:cs="宋体"/>
                <w:kern w:val="0"/>
                <w:szCs w:val="21"/>
              </w:rPr>
            </w:pPr>
            <w:r>
              <w:rPr>
                <w:rFonts w:hint="eastAsia" w:ascii="宋体" w:hAnsi="宋体" w:eastAsia="宋体" w:cs="宋体"/>
                <w:kern w:val="0"/>
                <w:szCs w:val="21"/>
              </w:rPr>
              <w:t>高等</w:t>
            </w:r>
          </w:p>
          <w:p>
            <w:pPr>
              <w:autoSpaceDE w:val="0"/>
              <w:autoSpaceDN w:val="0"/>
              <w:adjustRightInd w:val="0"/>
              <w:spacing w:line="360" w:lineRule="auto"/>
              <w:jc w:val="center"/>
              <w:rPr>
                <w:rFonts w:ascii="宋体" w:hAnsi="宋体" w:eastAsia="宋体" w:cs="宋体"/>
                <w:kern w:val="0"/>
                <w:szCs w:val="21"/>
              </w:rPr>
            </w:pPr>
            <w:r>
              <w:rPr>
                <w:rFonts w:hint="eastAsia" w:ascii="宋体" w:hAnsi="宋体" w:eastAsia="宋体" w:cs="宋体"/>
                <w:kern w:val="0"/>
                <w:szCs w:val="21"/>
              </w:rPr>
              <w:t>学校</w:t>
            </w:r>
          </w:p>
        </w:tc>
        <w:tc>
          <w:tcPr>
            <w:tcW w:w="7995" w:type="dxa"/>
            <w:vAlign w:val="center"/>
          </w:tcPr>
          <w:p>
            <w:pPr>
              <w:autoSpaceDE w:val="0"/>
              <w:autoSpaceDN w:val="0"/>
              <w:adjustRightInd w:val="0"/>
              <w:spacing w:line="360" w:lineRule="auto"/>
              <w:rPr>
                <w:rFonts w:ascii="宋体" w:hAnsi="宋体" w:eastAsia="宋体" w:cs="宋体"/>
                <w:kern w:val="0"/>
                <w:szCs w:val="21"/>
              </w:rPr>
            </w:pPr>
            <w:r>
              <w:rPr>
                <w:rFonts w:hint="eastAsia" w:ascii="宋体" w:hAnsi="宋体" w:eastAsia="宋体" w:cs="宋体"/>
                <w:kern w:val="0"/>
                <w:szCs w:val="21"/>
              </w:rPr>
              <w:t>文献资源服务中心（北京大学）、信息资源与智库研究所（北京理工大学）、资源建设中心（天津大学）、资源与平台建设部（东华大学）、特色与数字化工程部（东华大学）数据资源服务中心（北京大学）、数字化组（辽宁大学）、元数据部（厦门大学））、数字资源部（华南理工大学）、文库工作部（中国人民大学）、特色资源制作部（中央音乐学院）、多媒体信息部（中国人民大学）、电子音像部（中国传媒大学）、馆藏研究与规划部（同济大学）、文献与文物保护中心（中山大学）等。</w:t>
            </w:r>
          </w:p>
          <w:p>
            <w:pPr>
              <w:autoSpaceDE w:val="0"/>
              <w:autoSpaceDN w:val="0"/>
              <w:adjustRightInd w:val="0"/>
              <w:spacing w:line="360" w:lineRule="auto"/>
              <w:rPr>
                <w:rFonts w:ascii="宋体" w:hAnsi="宋体" w:eastAsia="宋体" w:cs="宋体"/>
                <w:kern w:val="0"/>
                <w:szCs w:val="21"/>
              </w:rPr>
            </w:pPr>
          </w:p>
          <w:p>
            <w:pPr>
              <w:autoSpaceDE w:val="0"/>
              <w:autoSpaceDN w:val="0"/>
              <w:adjustRightInd w:val="0"/>
              <w:spacing w:line="360" w:lineRule="auto"/>
              <w:rPr>
                <w:rFonts w:ascii="宋体" w:hAnsi="宋体" w:eastAsia="宋体" w:cs="宋体"/>
                <w:kern w:val="0"/>
                <w:szCs w:val="21"/>
              </w:rPr>
            </w:pPr>
          </w:p>
          <w:p>
            <w:pPr>
              <w:autoSpaceDE w:val="0"/>
              <w:autoSpaceDN w:val="0"/>
              <w:adjustRightInd w:val="0"/>
              <w:spacing w:line="360" w:lineRule="auto"/>
              <w:rPr>
                <w:rFonts w:ascii="宋体" w:hAnsi="宋体" w:eastAsia="宋体" w:cs="宋体"/>
                <w:kern w:val="0"/>
                <w:szCs w:val="21"/>
              </w:rPr>
            </w:pPr>
          </w:p>
          <w:p>
            <w:pPr>
              <w:autoSpaceDE w:val="0"/>
              <w:autoSpaceDN w:val="0"/>
              <w:adjustRightInd w:val="0"/>
              <w:spacing w:line="360" w:lineRule="auto"/>
              <w:rPr>
                <w:rFonts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710" w:type="dxa"/>
            <w:vMerge w:val="continue"/>
            <w:vAlign w:val="center"/>
          </w:tcPr>
          <w:p>
            <w:pPr>
              <w:autoSpaceDE w:val="0"/>
              <w:autoSpaceDN w:val="0"/>
              <w:adjustRightInd w:val="0"/>
              <w:spacing w:line="360" w:lineRule="auto"/>
              <w:rPr>
                <w:rFonts w:ascii="宋体" w:hAnsi="宋体" w:eastAsia="宋体" w:cs="宋体"/>
              </w:rPr>
            </w:pPr>
          </w:p>
        </w:tc>
        <w:tc>
          <w:tcPr>
            <w:tcW w:w="3225" w:type="dxa"/>
            <w:vMerge w:val="continue"/>
            <w:vAlign w:val="center"/>
          </w:tcPr>
          <w:p>
            <w:pPr>
              <w:autoSpaceDE w:val="0"/>
              <w:autoSpaceDN w:val="0"/>
              <w:adjustRightInd w:val="0"/>
              <w:spacing w:line="360" w:lineRule="auto"/>
              <w:rPr>
                <w:rFonts w:ascii="宋体" w:hAnsi="宋体" w:eastAsia="宋体" w:cs="宋体"/>
              </w:rPr>
            </w:pPr>
          </w:p>
        </w:tc>
        <w:tc>
          <w:tcPr>
            <w:tcW w:w="1241" w:type="dxa"/>
            <w:vAlign w:val="center"/>
          </w:tcPr>
          <w:p>
            <w:pPr>
              <w:autoSpaceDE w:val="0"/>
              <w:autoSpaceDN w:val="0"/>
              <w:adjustRightInd w:val="0"/>
              <w:spacing w:line="360" w:lineRule="auto"/>
              <w:jc w:val="center"/>
              <w:rPr>
                <w:rFonts w:ascii="宋体" w:hAnsi="宋体" w:eastAsia="宋体" w:cs="宋体"/>
                <w:kern w:val="0"/>
                <w:szCs w:val="21"/>
              </w:rPr>
            </w:pPr>
            <w:r>
              <w:rPr>
                <w:rFonts w:hint="eastAsia" w:ascii="宋体" w:hAnsi="宋体" w:eastAsia="宋体" w:cs="宋体"/>
                <w:kern w:val="0"/>
                <w:szCs w:val="21"/>
              </w:rPr>
              <w:t>农业</w:t>
            </w:r>
          </w:p>
          <w:p>
            <w:pPr>
              <w:autoSpaceDE w:val="0"/>
              <w:autoSpaceDN w:val="0"/>
              <w:adjustRightInd w:val="0"/>
              <w:spacing w:line="360" w:lineRule="auto"/>
              <w:jc w:val="center"/>
              <w:rPr>
                <w:rFonts w:ascii="宋体" w:hAnsi="宋体" w:eastAsia="宋体" w:cs="宋体"/>
                <w:kern w:val="0"/>
                <w:szCs w:val="21"/>
              </w:rPr>
            </w:pPr>
            <w:r>
              <w:rPr>
                <w:rFonts w:hint="eastAsia" w:ascii="宋体" w:hAnsi="宋体" w:eastAsia="宋体" w:cs="宋体"/>
                <w:kern w:val="0"/>
                <w:szCs w:val="21"/>
              </w:rPr>
              <w:t>高等</w:t>
            </w:r>
          </w:p>
          <w:p>
            <w:pPr>
              <w:autoSpaceDE w:val="0"/>
              <w:autoSpaceDN w:val="0"/>
              <w:adjustRightInd w:val="0"/>
              <w:spacing w:line="360" w:lineRule="auto"/>
              <w:jc w:val="center"/>
              <w:rPr>
                <w:rFonts w:ascii="宋体" w:hAnsi="宋体" w:eastAsia="宋体" w:cs="宋体"/>
                <w:kern w:val="0"/>
                <w:szCs w:val="21"/>
              </w:rPr>
            </w:pPr>
            <w:r>
              <w:rPr>
                <w:rFonts w:hint="eastAsia" w:ascii="宋体" w:hAnsi="宋体" w:eastAsia="宋体" w:cs="宋体"/>
                <w:kern w:val="0"/>
                <w:szCs w:val="21"/>
              </w:rPr>
              <w:t>学校</w:t>
            </w:r>
          </w:p>
        </w:tc>
        <w:tc>
          <w:tcPr>
            <w:tcW w:w="7995" w:type="dxa"/>
            <w:vAlign w:val="center"/>
          </w:tcPr>
          <w:p>
            <w:pPr>
              <w:autoSpaceDE w:val="0"/>
              <w:autoSpaceDN w:val="0"/>
              <w:adjustRightInd w:val="0"/>
              <w:spacing w:line="360" w:lineRule="auto"/>
              <w:jc w:val="left"/>
              <w:rPr>
                <w:rFonts w:ascii="宋体" w:hAnsi="宋体" w:eastAsia="宋体" w:cs="宋体"/>
                <w:kern w:val="0"/>
                <w:szCs w:val="21"/>
              </w:rPr>
            </w:pPr>
            <w:r>
              <w:rPr>
                <w:rFonts w:hint="eastAsia" w:ascii="宋体" w:hAnsi="宋体" w:eastAsia="宋体" w:cs="宋体"/>
                <w:kern w:val="0"/>
                <w:szCs w:val="21"/>
              </w:rPr>
              <w:t>资源建设中心（青岛农业大学）、海洋文献与数字化部（中国海洋大学）、蒙古文献信息中心（内蒙古农业大学）、数据加工部（吉林农业大学）</w:t>
            </w:r>
          </w:p>
          <w:p>
            <w:pPr>
              <w:autoSpaceDE w:val="0"/>
              <w:autoSpaceDN w:val="0"/>
              <w:adjustRightInd w:val="0"/>
              <w:spacing w:line="360" w:lineRule="auto"/>
              <w:jc w:val="left"/>
              <w:rPr>
                <w:rFonts w:ascii="宋体" w:hAnsi="宋体" w:eastAsia="宋体" w:cs="宋体"/>
                <w:kern w:val="0"/>
                <w:szCs w:val="21"/>
              </w:rPr>
            </w:pPr>
          </w:p>
          <w:p>
            <w:pPr>
              <w:autoSpaceDE w:val="0"/>
              <w:autoSpaceDN w:val="0"/>
              <w:adjustRightInd w:val="0"/>
              <w:spacing w:line="360" w:lineRule="auto"/>
              <w:jc w:val="left"/>
              <w:rPr>
                <w:rFonts w:ascii="宋体" w:hAnsi="宋体" w:eastAsia="宋体" w:cs="宋体"/>
                <w:kern w:val="0"/>
                <w:szCs w:val="21"/>
              </w:rPr>
            </w:pPr>
          </w:p>
          <w:p>
            <w:pPr>
              <w:autoSpaceDE w:val="0"/>
              <w:autoSpaceDN w:val="0"/>
              <w:adjustRightInd w:val="0"/>
              <w:spacing w:line="360" w:lineRule="auto"/>
              <w:jc w:val="left"/>
              <w:rPr>
                <w:rFonts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10" w:type="dxa"/>
            <w:vAlign w:val="center"/>
          </w:tcPr>
          <w:p>
            <w:pPr>
              <w:autoSpaceDE w:val="0"/>
              <w:autoSpaceDN w:val="0"/>
              <w:adjustRightInd w:val="0"/>
              <w:spacing w:line="360" w:lineRule="auto"/>
              <w:jc w:val="center"/>
              <w:rPr>
                <w:rFonts w:ascii="宋体" w:hAnsi="宋体" w:eastAsia="宋体" w:cs="宋体"/>
                <w:b/>
                <w:bCs/>
                <w:kern w:val="0"/>
                <w:sz w:val="28"/>
                <w:szCs w:val="28"/>
              </w:rPr>
            </w:pPr>
            <w:r>
              <w:rPr>
                <w:rFonts w:hint="eastAsia" w:ascii="宋体" w:hAnsi="宋体" w:eastAsia="宋体" w:cs="宋体"/>
                <w:b/>
                <w:bCs/>
                <w:kern w:val="0"/>
                <w:sz w:val="28"/>
                <w:szCs w:val="28"/>
              </w:rPr>
              <w:t>业务范畴</w:t>
            </w:r>
          </w:p>
        </w:tc>
        <w:tc>
          <w:tcPr>
            <w:tcW w:w="3225" w:type="dxa"/>
            <w:vAlign w:val="center"/>
          </w:tcPr>
          <w:p>
            <w:pPr>
              <w:autoSpaceDE w:val="0"/>
              <w:autoSpaceDN w:val="0"/>
              <w:adjustRightInd w:val="0"/>
              <w:spacing w:line="360" w:lineRule="auto"/>
              <w:jc w:val="center"/>
              <w:rPr>
                <w:rFonts w:ascii="宋体" w:hAnsi="宋体" w:eastAsia="宋体" w:cs="宋体"/>
                <w:b/>
                <w:bCs/>
                <w:kern w:val="0"/>
                <w:sz w:val="28"/>
                <w:szCs w:val="28"/>
              </w:rPr>
            </w:pPr>
            <w:r>
              <w:rPr>
                <w:rFonts w:hint="eastAsia" w:ascii="宋体" w:hAnsi="宋体" w:eastAsia="宋体" w:cs="宋体"/>
                <w:b/>
                <w:bCs/>
                <w:kern w:val="0"/>
                <w:sz w:val="28"/>
                <w:szCs w:val="28"/>
              </w:rPr>
              <w:t>传统业务部门通用名称</w:t>
            </w:r>
          </w:p>
        </w:tc>
        <w:tc>
          <w:tcPr>
            <w:tcW w:w="9236" w:type="dxa"/>
            <w:gridSpan w:val="2"/>
            <w:vAlign w:val="center"/>
          </w:tcPr>
          <w:p>
            <w:pPr>
              <w:autoSpaceDE w:val="0"/>
              <w:autoSpaceDN w:val="0"/>
              <w:adjustRightInd w:val="0"/>
              <w:spacing w:line="360" w:lineRule="auto"/>
              <w:ind w:firstLine="2240" w:firstLineChars="800"/>
              <w:jc w:val="left"/>
              <w:rPr>
                <w:rFonts w:ascii="宋体" w:hAnsi="宋体" w:eastAsia="宋体" w:cs="宋体"/>
                <w:kern w:val="0"/>
                <w:szCs w:val="21"/>
              </w:rPr>
            </w:pPr>
            <w:r>
              <w:rPr>
                <w:rFonts w:hint="eastAsia" w:ascii="宋体" w:hAnsi="宋体" w:eastAsia="宋体" w:cs="宋体"/>
                <w:b/>
                <w:bCs/>
                <w:kern w:val="0"/>
                <w:sz w:val="28"/>
                <w:szCs w:val="28"/>
              </w:rPr>
              <w:t>传统业务衍生、新增部门名称及所在图书馆举例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1" w:hRule="atLeast"/>
        </w:trPr>
        <w:tc>
          <w:tcPr>
            <w:tcW w:w="1710" w:type="dxa"/>
            <w:vMerge w:val="restart"/>
            <w:vAlign w:val="center"/>
          </w:tcPr>
          <w:p>
            <w:pPr>
              <w:autoSpaceDE w:val="0"/>
              <w:autoSpaceDN w:val="0"/>
              <w:adjustRightInd w:val="0"/>
              <w:spacing w:line="360" w:lineRule="auto"/>
              <w:jc w:val="center"/>
              <w:rPr>
                <w:rFonts w:ascii="宋体" w:hAnsi="宋体" w:eastAsia="宋体" w:cs="宋体"/>
                <w:b/>
                <w:bCs/>
                <w:kern w:val="0"/>
                <w:sz w:val="24"/>
                <w:szCs w:val="24"/>
              </w:rPr>
            </w:pPr>
            <w:r>
              <w:rPr>
                <w:rFonts w:hint="eastAsia" w:ascii="宋体" w:hAnsi="宋体" w:eastAsia="宋体" w:cs="宋体"/>
                <w:b/>
                <w:bCs/>
                <w:kern w:val="0"/>
                <w:sz w:val="24"/>
                <w:szCs w:val="24"/>
              </w:rPr>
              <w:t>读者</w:t>
            </w:r>
          </w:p>
          <w:p>
            <w:pPr>
              <w:autoSpaceDE w:val="0"/>
              <w:autoSpaceDN w:val="0"/>
              <w:adjustRightInd w:val="0"/>
              <w:spacing w:line="360" w:lineRule="auto"/>
              <w:jc w:val="center"/>
              <w:rPr>
                <w:rFonts w:ascii="宋体" w:hAnsi="宋体" w:eastAsia="宋体" w:cs="宋体"/>
                <w:b/>
                <w:bCs/>
                <w:kern w:val="0"/>
                <w:sz w:val="24"/>
                <w:szCs w:val="24"/>
              </w:rPr>
            </w:pPr>
            <w:r>
              <w:rPr>
                <w:rFonts w:hint="eastAsia" w:ascii="宋体" w:hAnsi="宋体" w:eastAsia="宋体" w:cs="宋体"/>
                <w:b/>
                <w:bCs/>
                <w:kern w:val="0"/>
                <w:sz w:val="24"/>
                <w:szCs w:val="24"/>
              </w:rPr>
              <w:t>服务</w:t>
            </w:r>
          </w:p>
        </w:tc>
        <w:tc>
          <w:tcPr>
            <w:tcW w:w="3225" w:type="dxa"/>
            <w:vMerge w:val="restart"/>
            <w:vAlign w:val="center"/>
          </w:tcPr>
          <w:p>
            <w:pPr>
              <w:autoSpaceDE w:val="0"/>
              <w:autoSpaceDN w:val="0"/>
              <w:adjustRightInd w:val="0"/>
              <w:spacing w:line="360" w:lineRule="auto"/>
              <w:rPr>
                <w:rFonts w:ascii="宋体" w:hAnsi="宋体" w:eastAsia="宋体" w:cs="宋体"/>
                <w:kern w:val="0"/>
                <w:szCs w:val="21"/>
              </w:rPr>
            </w:pPr>
            <w:r>
              <w:rPr>
                <w:rFonts w:hint="eastAsia" w:ascii="宋体" w:hAnsi="宋体" w:eastAsia="宋体" w:cs="宋体"/>
                <w:kern w:val="0"/>
                <w:szCs w:val="21"/>
              </w:rPr>
              <w:t>流通部、借阅部、期刊部、读者服务部、阅览部、书刊服务部、流通阅览部等</w:t>
            </w:r>
          </w:p>
        </w:tc>
        <w:tc>
          <w:tcPr>
            <w:tcW w:w="1241" w:type="dxa"/>
            <w:vAlign w:val="center"/>
          </w:tcPr>
          <w:p>
            <w:pPr>
              <w:autoSpaceDE w:val="0"/>
              <w:autoSpaceDN w:val="0"/>
              <w:adjustRightInd w:val="0"/>
              <w:spacing w:line="360" w:lineRule="auto"/>
              <w:jc w:val="center"/>
              <w:rPr>
                <w:rFonts w:ascii="宋体" w:hAnsi="宋体" w:eastAsia="宋体" w:cs="宋体"/>
                <w:kern w:val="0"/>
                <w:szCs w:val="21"/>
              </w:rPr>
            </w:pPr>
            <w:r>
              <w:rPr>
                <w:rFonts w:hint="eastAsia" w:ascii="宋体" w:hAnsi="宋体" w:eastAsia="宋体" w:cs="宋体"/>
                <w:kern w:val="0"/>
                <w:szCs w:val="21"/>
              </w:rPr>
              <w:t>211</w:t>
            </w:r>
          </w:p>
          <w:p>
            <w:pPr>
              <w:autoSpaceDE w:val="0"/>
              <w:autoSpaceDN w:val="0"/>
              <w:adjustRightInd w:val="0"/>
              <w:spacing w:line="360" w:lineRule="auto"/>
              <w:jc w:val="center"/>
              <w:rPr>
                <w:rFonts w:ascii="宋体" w:hAnsi="宋体" w:eastAsia="宋体" w:cs="宋体"/>
                <w:kern w:val="0"/>
                <w:szCs w:val="21"/>
              </w:rPr>
            </w:pPr>
            <w:r>
              <w:rPr>
                <w:rFonts w:hint="eastAsia" w:ascii="宋体" w:hAnsi="宋体" w:eastAsia="宋体" w:cs="宋体"/>
                <w:kern w:val="0"/>
                <w:szCs w:val="21"/>
              </w:rPr>
              <w:t>高等</w:t>
            </w:r>
          </w:p>
          <w:p>
            <w:pPr>
              <w:autoSpaceDE w:val="0"/>
              <w:autoSpaceDN w:val="0"/>
              <w:adjustRightInd w:val="0"/>
              <w:spacing w:line="360" w:lineRule="auto"/>
              <w:jc w:val="center"/>
              <w:rPr>
                <w:rFonts w:ascii="宋体" w:hAnsi="宋体" w:eastAsia="宋体" w:cs="宋体"/>
                <w:kern w:val="0"/>
                <w:szCs w:val="21"/>
              </w:rPr>
            </w:pPr>
            <w:r>
              <w:rPr>
                <w:rFonts w:hint="eastAsia" w:ascii="宋体" w:hAnsi="宋体" w:eastAsia="宋体" w:cs="宋体"/>
                <w:kern w:val="0"/>
                <w:szCs w:val="21"/>
              </w:rPr>
              <w:t>学校</w:t>
            </w:r>
          </w:p>
        </w:tc>
        <w:tc>
          <w:tcPr>
            <w:tcW w:w="7995" w:type="dxa"/>
            <w:vAlign w:val="center"/>
          </w:tcPr>
          <w:p>
            <w:pPr>
              <w:autoSpaceDE w:val="0"/>
              <w:autoSpaceDN w:val="0"/>
              <w:adjustRightInd w:val="0"/>
              <w:spacing w:line="360" w:lineRule="auto"/>
              <w:rPr>
                <w:rFonts w:ascii="宋体" w:hAnsi="宋体" w:eastAsia="宋体" w:cs="宋体"/>
                <w:kern w:val="0"/>
                <w:szCs w:val="21"/>
              </w:rPr>
            </w:pPr>
            <w:r>
              <w:rPr>
                <w:rFonts w:hint="eastAsia" w:ascii="宋体" w:hAnsi="宋体" w:eastAsia="宋体" w:cs="宋体"/>
                <w:kern w:val="0"/>
                <w:szCs w:val="21"/>
              </w:rPr>
              <w:t>阅读推广部（北京工业大学）、阅读推广组（中山大学）、公共服务部（中山大学）、应用服务于推介部（武汉大学）、文化育人中心（重庆大学）、学习支持中心（哈尔滨工程大学）、文化建设与推广部（南开大学）、知识文化提升中心（天津大学）、文化推广部（华东师范大学）、空间管理中心、综合服务与阅读推广部（华东理工大学）、文化发展中心（太原理工大学）、策划推广部（东南大学）、信息空间服务部（兰州大学）、文献与公共服务中心（河海大学）、文化传播中心（河海大学）、学习与研究支持部（上海交通大学）、文献资源服务中心（北京大学）、特藏资源服务中心（北京大学）等</w:t>
            </w:r>
          </w:p>
          <w:p>
            <w:pPr>
              <w:autoSpaceDE w:val="0"/>
              <w:autoSpaceDN w:val="0"/>
              <w:adjustRightInd w:val="0"/>
              <w:spacing w:line="360" w:lineRule="auto"/>
              <w:rPr>
                <w:rFonts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1" w:hRule="atLeast"/>
        </w:trPr>
        <w:tc>
          <w:tcPr>
            <w:tcW w:w="1710" w:type="dxa"/>
            <w:vMerge w:val="continue"/>
          </w:tcPr>
          <w:p>
            <w:pPr>
              <w:autoSpaceDE w:val="0"/>
              <w:autoSpaceDN w:val="0"/>
              <w:adjustRightInd w:val="0"/>
              <w:spacing w:line="360" w:lineRule="auto"/>
              <w:jc w:val="left"/>
              <w:rPr>
                <w:rFonts w:ascii="宋体" w:hAnsi="宋体" w:eastAsia="宋体" w:cs="宋体"/>
              </w:rPr>
            </w:pPr>
          </w:p>
        </w:tc>
        <w:tc>
          <w:tcPr>
            <w:tcW w:w="3225" w:type="dxa"/>
            <w:vMerge w:val="continue"/>
            <w:vAlign w:val="center"/>
          </w:tcPr>
          <w:p>
            <w:pPr>
              <w:autoSpaceDE w:val="0"/>
              <w:autoSpaceDN w:val="0"/>
              <w:adjustRightInd w:val="0"/>
              <w:spacing w:line="360" w:lineRule="auto"/>
              <w:rPr>
                <w:rFonts w:ascii="宋体" w:hAnsi="宋体" w:eastAsia="宋体" w:cs="宋体"/>
                <w:szCs w:val="21"/>
              </w:rPr>
            </w:pPr>
          </w:p>
        </w:tc>
        <w:tc>
          <w:tcPr>
            <w:tcW w:w="1241" w:type="dxa"/>
            <w:vAlign w:val="center"/>
          </w:tcPr>
          <w:p>
            <w:pPr>
              <w:autoSpaceDE w:val="0"/>
              <w:autoSpaceDN w:val="0"/>
              <w:adjustRightInd w:val="0"/>
              <w:spacing w:line="360" w:lineRule="auto"/>
              <w:jc w:val="center"/>
              <w:rPr>
                <w:rFonts w:ascii="宋体" w:hAnsi="宋体" w:eastAsia="宋体" w:cs="宋体"/>
                <w:kern w:val="0"/>
                <w:szCs w:val="21"/>
              </w:rPr>
            </w:pPr>
            <w:r>
              <w:rPr>
                <w:rFonts w:hint="eastAsia" w:ascii="宋体" w:hAnsi="宋体" w:eastAsia="宋体" w:cs="宋体"/>
                <w:kern w:val="0"/>
                <w:szCs w:val="21"/>
              </w:rPr>
              <w:t>农业</w:t>
            </w:r>
          </w:p>
          <w:p>
            <w:pPr>
              <w:autoSpaceDE w:val="0"/>
              <w:autoSpaceDN w:val="0"/>
              <w:adjustRightInd w:val="0"/>
              <w:spacing w:line="360" w:lineRule="auto"/>
              <w:jc w:val="center"/>
              <w:rPr>
                <w:rFonts w:ascii="宋体" w:hAnsi="宋体" w:eastAsia="宋体" w:cs="宋体"/>
                <w:kern w:val="0"/>
                <w:szCs w:val="21"/>
              </w:rPr>
            </w:pPr>
            <w:r>
              <w:rPr>
                <w:rFonts w:hint="eastAsia" w:ascii="宋体" w:hAnsi="宋体" w:eastAsia="宋体" w:cs="宋体"/>
                <w:kern w:val="0"/>
                <w:szCs w:val="21"/>
              </w:rPr>
              <w:t>高等</w:t>
            </w:r>
          </w:p>
          <w:p>
            <w:pPr>
              <w:autoSpaceDE w:val="0"/>
              <w:autoSpaceDN w:val="0"/>
              <w:adjustRightInd w:val="0"/>
              <w:spacing w:line="360" w:lineRule="auto"/>
              <w:jc w:val="center"/>
              <w:rPr>
                <w:rFonts w:ascii="宋体" w:hAnsi="宋体" w:eastAsia="宋体" w:cs="宋体"/>
                <w:kern w:val="0"/>
                <w:szCs w:val="21"/>
              </w:rPr>
            </w:pPr>
            <w:r>
              <w:rPr>
                <w:rFonts w:hint="eastAsia" w:ascii="宋体" w:hAnsi="宋体" w:eastAsia="宋体" w:cs="宋体"/>
                <w:kern w:val="0"/>
                <w:szCs w:val="21"/>
              </w:rPr>
              <w:t>学校</w:t>
            </w:r>
          </w:p>
        </w:tc>
        <w:tc>
          <w:tcPr>
            <w:tcW w:w="7995" w:type="dxa"/>
            <w:vAlign w:val="center"/>
          </w:tcPr>
          <w:p>
            <w:pPr>
              <w:autoSpaceDE w:val="0"/>
              <w:autoSpaceDN w:val="0"/>
              <w:adjustRightInd w:val="0"/>
              <w:spacing w:line="360" w:lineRule="auto"/>
              <w:rPr>
                <w:rFonts w:ascii="宋体" w:hAnsi="宋体" w:eastAsia="宋体" w:cs="宋体"/>
                <w:kern w:val="0"/>
                <w:szCs w:val="21"/>
              </w:rPr>
            </w:pPr>
            <w:r>
              <w:rPr>
                <w:rFonts w:hint="eastAsia" w:ascii="宋体" w:hAnsi="宋体" w:eastAsia="宋体" w:cs="宋体"/>
                <w:kern w:val="0"/>
                <w:szCs w:val="21"/>
              </w:rPr>
              <w:t>阅读推广部（大连海洋大学、华南农业大学）、文化拓展部（福建农林大学）、文化建设部（黑龙江八一农垦大学）、宣传推广部（华中农业大学）、学习服务中心（吉林农业科学学院）、学习支持中心（青岛农业大学）、读者服务中心（青岛农业大学）、发展推广部(浙江海洋大学）、策划推广部（南京农业大学）等</w:t>
            </w:r>
          </w:p>
          <w:p>
            <w:pPr>
              <w:autoSpaceDE w:val="0"/>
              <w:autoSpaceDN w:val="0"/>
              <w:adjustRightInd w:val="0"/>
              <w:spacing w:line="360" w:lineRule="auto"/>
              <w:rPr>
                <w:rFonts w:ascii="宋体" w:hAnsi="宋体" w:eastAsia="宋体" w:cs="宋体"/>
                <w:kern w:val="0"/>
                <w:szCs w:val="21"/>
              </w:rPr>
            </w:pPr>
          </w:p>
          <w:p>
            <w:pPr>
              <w:autoSpaceDE w:val="0"/>
              <w:autoSpaceDN w:val="0"/>
              <w:adjustRightInd w:val="0"/>
              <w:spacing w:line="360" w:lineRule="auto"/>
              <w:rPr>
                <w:rFonts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710" w:type="dxa"/>
            <w:vAlign w:val="center"/>
          </w:tcPr>
          <w:p>
            <w:pPr>
              <w:autoSpaceDE w:val="0"/>
              <w:autoSpaceDN w:val="0"/>
              <w:adjustRightInd w:val="0"/>
              <w:spacing w:line="360" w:lineRule="auto"/>
              <w:jc w:val="center"/>
              <w:rPr>
                <w:rFonts w:ascii="宋体" w:hAnsi="宋体" w:eastAsia="宋体" w:cs="宋体"/>
                <w:b/>
                <w:bCs/>
                <w:kern w:val="0"/>
                <w:sz w:val="28"/>
                <w:szCs w:val="28"/>
              </w:rPr>
            </w:pPr>
            <w:r>
              <w:rPr>
                <w:rFonts w:hint="eastAsia" w:ascii="宋体" w:hAnsi="宋体" w:eastAsia="宋体" w:cs="宋体"/>
                <w:b/>
                <w:bCs/>
                <w:kern w:val="0"/>
                <w:sz w:val="28"/>
                <w:szCs w:val="28"/>
              </w:rPr>
              <w:t>业务范畴</w:t>
            </w:r>
          </w:p>
        </w:tc>
        <w:tc>
          <w:tcPr>
            <w:tcW w:w="3225" w:type="dxa"/>
            <w:vAlign w:val="center"/>
          </w:tcPr>
          <w:p>
            <w:pPr>
              <w:autoSpaceDE w:val="0"/>
              <w:autoSpaceDN w:val="0"/>
              <w:adjustRightInd w:val="0"/>
              <w:spacing w:line="360" w:lineRule="auto"/>
              <w:jc w:val="center"/>
              <w:rPr>
                <w:rFonts w:ascii="宋体" w:hAnsi="宋体" w:eastAsia="宋体" w:cs="宋体"/>
                <w:b/>
                <w:bCs/>
                <w:kern w:val="0"/>
                <w:sz w:val="28"/>
                <w:szCs w:val="28"/>
              </w:rPr>
            </w:pPr>
            <w:r>
              <w:rPr>
                <w:rFonts w:hint="eastAsia" w:ascii="宋体" w:hAnsi="宋体" w:eastAsia="宋体" w:cs="宋体"/>
                <w:b/>
                <w:bCs/>
                <w:kern w:val="0"/>
                <w:sz w:val="28"/>
                <w:szCs w:val="28"/>
              </w:rPr>
              <w:t>传统业务部门通用名称</w:t>
            </w:r>
          </w:p>
        </w:tc>
        <w:tc>
          <w:tcPr>
            <w:tcW w:w="9236" w:type="dxa"/>
            <w:gridSpan w:val="2"/>
            <w:vAlign w:val="center"/>
          </w:tcPr>
          <w:p>
            <w:pPr>
              <w:autoSpaceDE w:val="0"/>
              <w:autoSpaceDN w:val="0"/>
              <w:adjustRightInd w:val="0"/>
              <w:spacing w:line="360" w:lineRule="auto"/>
              <w:jc w:val="center"/>
              <w:rPr>
                <w:rFonts w:ascii="宋体" w:hAnsi="宋体" w:eastAsia="宋体" w:cs="宋体"/>
                <w:kern w:val="0"/>
                <w:szCs w:val="21"/>
              </w:rPr>
            </w:pPr>
            <w:r>
              <w:rPr>
                <w:rFonts w:hint="eastAsia" w:ascii="宋体" w:hAnsi="宋体" w:eastAsia="宋体" w:cs="宋体"/>
                <w:b/>
                <w:bCs/>
                <w:kern w:val="0"/>
                <w:sz w:val="28"/>
                <w:szCs w:val="28"/>
              </w:rPr>
              <w:t>传统业务衍生、新增部门名称及所在图书馆举例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710" w:type="dxa"/>
            <w:vMerge w:val="restart"/>
            <w:vAlign w:val="center"/>
          </w:tcPr>
          <w:p>
            <w:pPr>
              <w:autoSpaceDE w:val="0"/>
              <w:autoSpaceDN w:val="0"/>
              <w:adjustRightInd w:val="0"/>
              <w:spacing w:line="360" w:lineRule="auto"/>
              <w:jc w:val="center"/>
              <w:rPr>
                <w:rFonts w:ascii="宋体" w:hAnsi="宋体" w:eastAsia="宋体" w:cs="宋体"/>
                <w:b/>
                <w:bCs/>
                <w:kern w:val="0"/>
                <w:sz w:val="24"/>
                <w:szCs w:val="24"/>
              </w:rPr>
            </w:pPr>
            <w:r>
              <w:rPr>
                <w:rFonts w:hint="eastAsia" w:ascii="宋体" w:hAnsi="宋体" w:eastAsia="宋体" w:cs="宋体"/>
                <w:b/>
                <w:bCs/>
                <w:kern w:val="0"/>
                <w:sz w:val="24"/>
                <w:szCs w:val="24"/>
              </w:rPr>
              <w:t>参考</w:t>
            </w:r>
          </w:p>
          <w:p>
            <w:pPr>
              <w:autoSpaceDE w:val="0"/>
              <w:autoSpaceDN w:val="0"/>
              <w:adjustRightInd w:val="0"/>
              <w:spacing w:line="360" w:lineRule="auto"/>
              <w:jc w:val="center"/>
              <w:rPr>
                <w:rFonts w:ascii="宋体" w:hAnsi="宋体" w:eastAsia="宋体" w:cs="宋体"/>
                <w:b/>
                <w:bCs/>
                <w:kern w:val="0"/>
                <w:sz w:val="24"/>
                <w:szCs w:val="24"/>
              </w:rPr>
            </w:pPr>
            <w:r>
              <w:rPr>
                <w:rFonts w:hint="eastAsia" w:ascii="宋体" w:hAnsi="宋体" w:eastAsia="宋体" w:cs="宋体"/>
                <w:b/>
                <w:bCs/>
                <w:kern w:val="0"/>
                <w:sz w:val="24"/>
                <w:szCs w:val="24"/>
              </w:rPr>
              <w:t>咨询</w:t>
            </w:r>
          </w:p>
          <w:p>
            <w:pPr>
              <w:autoSpaceDE w:val="0"/>
              <w:autoSpaceDN w:val="0"/>
              <w:adjustRightInd w:val="0"/>
              <w:spacing w:line="360" w:lineRule="auto"/>
              <w:jc w:val="center"/>
              <w:rPr>
                <w:rFonts w:ascii="宋体" w:hAnsi="宋体" w:eastAsia="宋体" w:cs="宋体"/>
                <w:b/>
                <w:bCs/>
                <w:kern w:val="0"/>
                <w:sz w:val="24"/>
                <w:szCs w:val="24"/>
              </w:rPr>
            </w:pPr>
            <w:r>
              <w:rPr>
                <w:rFonts w:hint="eastAsia" w:ascii="宋体" w:hAnsi="宋体" w:eastAsia="宋体" w:cs="宋体"/>
                <w:b/>
                <w:bCs/>
                <w:kern w:val="0"/>
                <w:sz w:val="24"/>
                <w:szCs w:val="24"/>
              </w:rPr>
              <w:t>学科</w:t>
            </w:r>
          </w:p>
          <w:p>
            <w:pPr>
              <w:autoSpaceDE w:val="0"/>
              <w:autoSpaceDN w:val="0"/>
              <w:adjustRightInd w:val="0"/>
              <w:spacing w:line="360" w:lineRule="auto"/>
              <w:jc w:val="center"/>
              <w:rPr>
                <w:rFonts w:ascii="宋体" w:hAnsi="宋体" w:eastAsia="宋体" w:cs="宋体"/>
                <w:b/>
                <w:bCs/>
                <w:kern w:val="0"/>
                <w:sz w:val="28"/>
                <w:szCs w:val="28"/>
              </w:rPr>
            </w:pPr>
            <w:r>
              <w:rPr>
                <w:rFonts w:hint="eastAsia" w:ascii="宋体" w:hAnsi="宋体" w:eastAsia="宋体" w:cs="宋体"/>
                <w:b/>
                <w:bCs/>
                <w:kern w:val="0"/>
                <w:sz w:val="24"/>
                <w:szCs w:val="24"/>
              </w:rPr>
              <w:t>支持</w:t>
            </w:r>
          </w:p>
        </w:tc>
        <w:tc>
          <w:tcPr>
            <w:tcW w:w="3225" w:type="dxa"/>
            <w:vMerge w:val="restart"/>
          </w:tcPr>
          <w:p>
            <w:pPr>
              <w:autoSpaceDE w:val="0"/>
              <w:autoSpaceDN w:val="0"/>
              <w:adjustRightInd w:val="0"/>
              <w:spacing w:line="360" w:lineRule="auto"/>
              <w:jc w:val="left"/>
              <w:rPr>
                <w:rFonts w:ascii="宋体" w:hAnsi="宋体" w:eastAsia="宋体" w:cs="宋体"/>
                <w:kern w:val="0"/>
                <w:szCs w:val="21"/>
              </w:rPr>
            </w:pPr>
          </w:p>
          <w:p>
            <w:pPr>
              <w:autoSpaceDE w:val="0"/>
              <w:autoSpaceDN w:val="0"/>
              <w:adjustRightInd w:val="0"/>
              <w:spacing w:line="360" w:lineRule="auto"/>
              <w:jc w:val="left"/>
              <w:rPr>
                <w:rFonts w:ascii="宋体" w:hAnsi="宋体" w:eastAsia="宋体" w:cs="宋体"/>
                <w:kern w:val="0"/>
                <w:szCs w:val="21"/>
              </w:rPr>
            </w:pPr>
          </w:p>
          <w:p>
            <w:pPr>
              <w:autoSpaceDE w:val="0"/>
              <w:autoSpaceDN w:val="0"/>
              <w:adjustRightInd w:val="0"/>
              <w:spacing w:line="360" w:lineRule="auto"/>
              <w:jc w:val="left"/>
              <w:rPr>
                <w:rFonts w:ascii="宋体" w:hAnsi="宋体" w:eastAsia="宋体" w:cs="宋体"/>
                <w:kern w:val="0"/>
                <w:szCs w:val="21"/>
              </w:rPr>
            </w:pPr>
          </w:p>
          <w:p>
            <w:pPr>
              <w:autoSpaceDE w:val="0"/>
              <w:autoSpaceDN w:val="0"/>
              <w:adjustRightInd w:val="0"/>
              <w:spacing w:line="360" w:lineRule="auto"/>
              <w:jc w:val="left"/>
              <w:rPr>
                <w:rFonts w:ascii="宋体" w:hAnsi="宋体" w:eastAsia="宋体" w:cs="宋体"/>
                <w:kern w:val="0"/>
                <w:szCs w:val="21"/>
              </w:rPr>
            </w:pPr>
            <w:r>
              <w:rPr>
                <w:rFonts w:hint="eastAsia" w:ascii="宋体" w:hAnsi="宋体" w:eastAsia="宋体" w:cs="宋体"/>
                <w:kern w:val="0"/>
                <w:szCs w:val="21"/>
              </w:rPr>
              <w:t>参考咨询部、信息咨询部、</w:t>
            </w:r>
          </w:p>
          <w:p>
            <w:pPr>
              <w:autoSpaceDE w:val="0"/>
              <w:autoSpaceDN w:val="0"/>
              <w:adjustRightInd w:val="0"/>
              <w:spacing w:line="360" w:lineRule="auto"/>
              <w:jc w:val="left"/>
              <w:rPr>
                <w:rFonts w:ascii="宋体" w:hAnsi="宋体" w:eastAsia="宋体" w:cs="宋体"/>
                <w:kern w:val="0"/>
                <w:szCs w:val="21"/>
              </w:rPr>
            </w:pPr>
            <w:r>
              <w:rPr>
                <w:rFonts w:hint="eastAsia" w:ascii="宋体" w:hAnsi="宋体" w:eastAsia="宋体" w:cs="宋体"/>
                <w:kern w:val="0"/>
                <w:szCs w:val="21"/>
              </w:rPr>
              <w:t>情报服务部等</w:t>
            </w:r>
          </w:p>
        </w:tc>
        <w:tc>
          <w:tcPr>
            <w:tcW w:w="1241" w:type="dxa"/>
          </w:tcPr>
          <w:p>
            <w:pPr>
              <w:autoSpaceDE w:val="0"/>
              <w:autoSpaceDN w:val="0"/>
              <w:adjustRightInd w:val="0"/>
              <w:spacing w:line="360" w:lineRule="auto"/>
              <w:jc w:val="center"/>
              <w:rPr>
                <w:rFonts w:ascii="宋体" w:hAnsi="宋体" w:eastAsia="宋体" w:cs="宋体"/>
                <w:kern w:val="0"/>
                <w:szCs w:val="21"/>
              </w:rPr>
            </w:pPr>
          </w:p>
          <w:p>
            <w:pPr>
              <w:autoSpaceDE w:val="0"/>
              <w:autoSpaceDN w:val="0"/>
              <w:adjustRightInd w:val="0"/>
              <w:spacing w:line="360" w:lineRule="auto"/>
              <w:jc w:val="center"/>
              <w:rPr>
                <w:rFonts w:ascii="宋体" w:hAnsi="宋体" w:eastAsia="宋体" w:cs="宋体"/>
                <w:kern w:val="0"/>
                <w:szCs w:val="21"/>
              </w:rPr>
            </w:pPr>
            <w:r>
              <w:rPr>
                <w:rFonts w:hint="eastAsia" w:ascii="宋体" w:hAnsi="宋体" w:eastAsia="宋体" w:cs="宋体"/>
                <w:kern w:val="0"/>
                <w:szCs w:val="21"/>
              </w:rPr>
              <w:t>211</w:t>
            </w:r>
          </w:p>
          <w:p>
            <w:pPr>
              <w:autoSpaceDE w:val="0"/>
              <w:autoSpaceDN w:val="0"/>
              <w:adjustRightInd w:val="0"/>
              <w:spacing w:line="360" w:lineRule="auto"/>
              <w:jc w:val="center"/>
              <w:rPr>
                <w:rFonts w:ascii="宋体" w:hAnsi="宋体" w:eastAsia="宋体" w:cs="宋体"/>
                <w:kern w:val="0"/>
                <w:szCs w:val="21"/>
              </w:rPr>
            </w:pPr>
            <w:r>
              <w:rPr>
                <w:rFonts w:hint="eastAsia" w:ascii="宋体" w:hAnsi="宋体" w:eastAsia="宋体" w:cs="宋体"/>
                <w:kern w:val="0"/>
                <w:szCs w:val="21"/>
              </w:rPr>
              <w:t>高等</w:t>
            </w:r>
          </w:p>
          <w:p>
            <w:pPr>
              <w:autoSpaceDE w:val="0"/>
              <w:autoSpaceDN w:val="0"/>
              <w:adjustRightInd w:val="0"/>
              <w:spacing w:line="360" w:lineRule="auto"/>
              <w:jc w:val="center"/>
              <w:rPr>
                <w:rFonts w:ascii="宋体" w:hAnsi="宋体" w:eastAsia="宋体" w:cs="宋体"/>
                <w:kern w:val="0"/>
                <w:szCs w:val="21"/>
              </w:rPr>
            </w:pPr>
            <w:r>
              <w:rPr>
                <w:rFonts w:hint="eastAsia" w:ascii="宋体" w:hAnsi="宋体" w:eastAsia="宋体" w:cs="宋体"/>
                <w:kern w:val="0"/>
                <w:szCs w:val="21"/>
              </w:rPr>
              <w:t>学校</w:t>
            </w:r>
          </w:p>
        </w:tc>
        <w:tc>
          <w:tcPr>
            <w:tcW w:w="7995" w:type="dxa"/>
          </w:tcPr>
          <w:p>
            <w:pPr>
              <w:autoSpaceDE w:val="0"/>
              <w:autoSpaceDN w:val="0"/>
              <w:adjustRightInd w:val="0"/>
              <w:spacing w:line="360" w:lineRule="auto"/>
              <w:jc w:val="left"/>
              <w:rPr>
                <w:rFonts w:ascii="宋体" w:hAnsi="宋体" w:eastAsia="宋体" w:cs="宋体"/>
                <w:kern w:val="0"/>
                <w:szCs w:val="21"/>
              </w:rPr>
            </w:pPr>
            <w:r>
              <w:rPr>
                <w:rFonts w:hint="eastAsia" w:ascii="宋体" w:hAnsi="宋体" w:eastAsia="宋体" w:cs="宋体"/>
                <w:kern w:val="0"/>
                <w:szCs w:val="21"/>
              </w:rPr>
              <w:t>知识资源服务中心（北京大学）、协同服务中心（北京大学）、学科服务与评价中心（中国政法大学）、学科与知识产权服务部（同济大学）、学术评价与分析研究中心（重庆大学）、信息咨询与发展研究部（西北工业大学）、学科服务中心（北京理工大学）、研究支持中心（天津大学）、学术发展中心（浙江大学）、学科评价与科技服务部（郑州大学）、文献评价与学科服务中心（湖南大学）、兵团知识产权信息中心（石河子大学）、知识产权信息服务中心（哈尔滨工业大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trPr>
        <w:tc>
          <w:tcPr>
            <w:tcW w:w="1710" w:type="dxa"/>
            <w:vMerge w:val="continue"/>
            <w:vAlign w:val="center"/>
          </w:tcPr>
          <w:p>
            <w:pPr>
              <w:autoSpaceDE w:val="0"/>
              <w:autoSpaceDN w:val="0"/>
              <w:adjustRightInd w:val="0"/>
              <w:spacing w:line="360" w:lineRule="auto"/>
              <w:rPr>
                <w:rFonts w:ascii="宋体" w:hAnsi="宋体" w:eastAsia="宋体" w:cs="宋体"/>
                <w:b/>
                <w:bCs/>
                <w:kern w:val="0"/>
                <w:sz w:val="28"/>
                <w:szCs w:val="28"/>
              </w:rPr>
            </w:pPr>
          </w:p>
        </w:tc>
        <w:tc>
          <w:tcPr>
            <w:tcW w:w="3225" w:type="dxa"/>
            <w:vMerge w:val="continue"/>
            <w:vAlign w:val="center"/>
          </w:tcPr>
          <w:p>
            <w:pPr>
              <w:autoSpaceDE w:val="0"/>
              <w:autoSpaceDN w:val="0"/>
              <w:adjustRightInd w:val="0"/>
              <w:spacing w:line="360" w:lineRule="auto"/>
              <w:jc w:val="center"/>
              <w:rPr>
                <w:rFonts w:ascii="宋体" w:hAnsi="宋体" w:eastAsia="宋体" w:cs="宋体"/>
                <w:b/>
                <w:bCs/>
                <w:kern w:val="0"/>
                <w:sz w:val="28"/>
                <w:szCs w:val="28"/>
              </w:rPr>
            </w:pPr>
          </w:p>
        </w:tc>
        <w:tc>
          <w:tcPr>
            <w:tcW w:w="1241" w:type="dxa"/>
          </w:tcPr>
          <w:p>
            <w:pPr>
              <w:autoSpaceDE w:val="0"/>
              <w:autoSpaceDN w:val="0"/>
              <w:adjustRightInd w:val="0"/>
              <w:spacing w:line="360" w:lineRule="auto"/>
              <w:jc w:val="center"/>
              <w:rPr>
                <w:rFonts w:ascii="宋体" w:hAnsi="宋体" w:eastAsia="宋体" w:cs="宋体"/>
                <w:kern w:val="0"/>
                <w:szCs w:val="21"/>
              </w:rPr>
            </w:pPr>
            <w:r>
              <w:rPr>
                <w:rFonts w:hint="eastAsia" w:ascii="宋体" w:hAnsi="宋体" w:eastAsia="宋体" w:cs="宋体"/>
                <w:kern w:val="0"/>
                <w:szCs w:val="21"/>
              </w:rPr>
              <w:t>农业</w:t>
            </w:r>
          </w:p>
          <w:p>
            <w:pPr>
              <w:autoSpaceDE w:val="0"/>
              <w:autoSpaceDN w:val="0"/>
              <w:adjustRightInd w:val="0"/>
              <w:spacing w:line="360" w:lineRule="auto"/>
              <w:jc w:val="center"/>
              <w:rPr>
                <w:rFonts w:ascii="宋体" w:hAnsi="宋体" w:eastAsia="宋体" w:cs="宋体"/>
                <w:kern w:val="0"/>
                <w:szCs w:val="21"/>
              </w:rPr>
            </w:pPr>
            <w:r>
              <w:rPr>
                <w:rFonts w:hint="eastAsia" w:ascii="宋体" w:hAnsi="宋体" w:eastAsia="宋体" w:cs="宋体"/>
                <w:kern w:val="0"/>
                <w:szCs w:val="21"/>
              </w:rPr>
              <w:t>高等</w:t>
            </w:r>
          </w:p>
          <w:p>
            <w:pPr>
              <w:autoSpaceDE w:val="0"/>
              <w:autoSpaceDN w:val="0"/>
              <w:adjustRightInd w:val="0"/>
              <w:spacing w:line="360" w:lineRule="auto"/>
              <w:jc w:val="center"/>
              <w:rPr>
                <w:rFonts w:ascii="宋体" w:hAnsi="宋体" w:eastAsia="宋体" w:cs="宋体"/>
                <w:kern w:val="0"/>
                <w:szCs w:val="21"/>
              </w:rPr>
            </w:pPr>
            <w:r>
              <w:rPr>
                <w:rFonts w:hint="eastAsia" w:ascii="宋体" w:hAnsi="宋体" w:eastAsia="宋体" w:cs="宋体"/>
                <w:kern w:val="0"/>
                <w:szCs w:val="21"/>
              </w:rPr>
              <w:t>学校</w:t>
            </w:r>
          </w:p>
        </w:tc>
        <w:tc>
          <w:tcPr>
            <w:tcW w:w="7995" w:type="dxa"/>
          </w:tcPr>
          <w:p>
            <w:pPr>
              <w:autoSpaceDE w:val="0"/>
              <w:autoSpaceDN w:val="0"/>
              <w:adjustRightInd w:val="0"/>
              <w:spacing w:line="360" w:lineRule="auto"/>
              <w:jc w:val="left"/>
              <w:rPr>
                <w:rFonts w:ascii="宋体" w:hAnsi="宋体" w:eastAsia="宋体" w:cs="宋体"/>
                <w:color w:val="000000"/>
                <w:sz w:val="16"/>
                <w:szCs w:val="16"/>
              </w:rPr>
            </w:pPr>
            <w:r>
              <w:rPr>
                <w:rFonts w:hint="eastAsia" w:ascii="宋体" w:hAnsi="宋体" w:eastAsia="宋体" w:cs="宋体"/>
                <w:kern w:val="0"/>
                <w:szCs w:val="21"/>
              </w:rPr>
              <w:t>推广服务中心（吉林农业科技学院）、研究支持部、教育技术部、用户服务部（南京农业大学）、科研支持中心发展研究中心（</w:t>
            </w:r>
            <w:r>
              <w:rPr>
                <w:rFonts w:hint="eastAsia" w:ascii="宋体" w:hAnsi="宋体" w:eastAsia="宋体" w:cs="宋体"/>
                <w:kern w:val="0"/>
                <w:sz w:val="22"/>
              </w:rPr>
              <w:t>青岛农业</w:t>
            </w:r>
            <w:r>
              <w:rPr>
                <w:rFonts w:hint="eastAsia" w:ascii="宋体" w:hAnsi="宋体" w:eastAsia="宋体" w:cs="宋体"/>
                <w:kern w:val="0"/>
                <w:szCs w:val="21"/>
              </w:rPr>
              <w:t>大学）、学科服务部（山西农业大学）等</w:t>
            </w:r>
          </w:p>
        </w:tc>
      </w:tr>
    </w:tbl>
    <w:p>
      <w:pPr>
        <w:autoSpaceDE w:val="0"/>
        <w:autoSpaceDN w:val="0"/>
        <w:adjustRightInd w:val="0"/>
        <w:spacing w:line="360" w:lineRule="auto"/>
        <w:jc w:val="left"/>
        <w:rPr>
          <w:rFonts w:ascii="宋体" w:hAnsi="宋体" w:eastAsia="宋体" w:cs="宋体"/>
          <w:kern w:val="0"/>
          <w:sz w:val="24"/>
          <w:szCs w:val="24"/>
        </w:rPr>
      </w:pPr>
    </w:p>
    <w:p>
      <w:pPr>
        <w:autoSpaceDE w:val="0"/>
        <w:autoSpaceDN w:val="0"/>
        <w:adjustRightInd w:val="0"/>
        <w:spacing w:line="360" w:lineRule="auto"/>
        <w:jc w:val="left"/>
        <w:rPr>
          <w:rFonts w:ascii="宋体" w:hAnsi="宋体" w:eastAsia="宋体" w:cs="宋体"/>
          <w:kern w:val="0"/>
          <w:sz w:val="24"/>
          <w:szCs w:val="24"/>
        </w:rPr>
      </w:pPr>
    </w:p>
    <w:p>
      <w:pPr>
        <w:autoSpaceDE w:val="0"/>
        <w:autoSpaceDN w:val="0"/>
        <w:adjustRightInd w:val="0"/>
        <w:spacing w:line="360" w:lineRule="auto"/>
        <w:jc w:val="left"/>
        <w:rPr>
          <w:rFonts w:ascii="宋体" w:hAnsi="宋体" w:eastAsia="宋体" w:cs="宋体"/>
          <w:kern w:val="0"/>
          <w:sz w:val="24"/>
          <w:szCs w:val="24"/>
        </w:rPr>
      </w:pPr>
    </w:p>
    <w:p>
      <w:pPr>
        <w:autoSpaceDE w:val="0"/>
        <w:autoSpaceDN w:val="0"/>
        <w:adjustRightInd w:val="0"/>
        <w:spacing w:line="360" w:lineRule="auto"/>
        <w:jc w:val="left"/>
        <w:rPr>
          <w:rFonts w:ascii="宋体" w:hAnsi="宋体" w:eastAsia="宋体" w:cs="宋体"/>
          <w:kern w:val="0"/>
          <w:sz w:val="24"/>
          <w:szCs w:val="24"/>
        </w:rPr>
      </w:pPr>
    </w:p>
    <w:p>
      <w:pPr>
        <w:autoSpaceDE w:val="0"/>
        <w:autoSpaceDN w:val="0"/>
        <w:adjustRightInd w:val="0"/>
        <w:spacing w:line="360" w:lineRule="auto"/>
        <w:jc w:val="left"/>
        <w:rPr>
          <w:rFonts w:ascii="宋体" w:hAnsi="宋体" w:eastAsia="宋体" w:cs="宋体"/>
          <w:kern w:val="0"/>
          <w:sz w:val="24"/>
          <w:szCs w:val="24"/>
        </w:rPr>
      </w:pPr>
    </w:p>
    <w:p>
      <w:pPr>
        <w:autoSpaceDE w:val="0"/>
        <w:autoSpaceDN w:val="0"/>
        <w:adjustRightInd w:val="0"/>
        <w:spacing w:line="360" w:lineRule="auto"/>
        <w:jc w:val="left"/>
        <w:rPr>
          <w:rFonts w:ascii="宋体" w:hAnsi="宋体" w:eastAsia="宋体" w:cs="宋体"/>
          <w:kern w:val="0"/>
          <w:sz w:val="24"/>
          <w:szCs w:val="24"/>
        </w:rPr>
      </w:pPr>
    </w:p>
    <w:p>
      <w:pPr>
        <w:autoSpaceDE w:val="0"/>
        <w:autoSpaceDN w:val="0"/>
        <w:adjustRightInd w:val="0"/>
        <w:spacing w:line="360" w:lineRule="auto"/>
        <w:jc w:val="left"/>
        <w:rPr>
          <w:rFonts w:ascii="宋体" w:hAnsi="宋体" w:eastAsia="宋体" w:cs="宋体"/>
          <w:kern w:val="0"/>
          <w:sz w:val="24"/>
          <w:szCs w:val="24"/>
        </w:rPr>
      </w:pPr>
    </w:p>
    <w:p>
      <w:pPr>
        <w:autoSpaceDE w:val="0"/>
        <w:autoSpaceDN w:val="0"/>
        <w:adjustRightInd w:val="0"/>
        <w:spacing w:line="360" w:lineRule="auto"/>
        <w:jc w:val="left"/>
        <w:rPr>
          <w:rFonts w:ascii="宋体" w:hAnsi="宋体" w:eastAsia="宋体" w:cs="宋体"/>
          <w:kern w:val="0"/>
          <w:sz w:val="24"/>
          <w:szCs w:val="24"/>
        </w:rPr>
        <w:sectPr>
          <w:pgSz w:w="16838" w:h="11906" w:orient="landscape"/>
          <w:pgMar w:top="1797" w:right="1440" w:bottom="1797" w:left="1440" w:header="851" w:footer="992" w:gutter="0"/>
          <w:cols w:space="425" w:num="1"/>
          <w:docGrid w:type="linesAndChars" w:linePitch="312" w:charSpace="0"/>
        </w:sectPr>
      </w:pPr>
    </w:p>
    <w:p>
      <w:pPr>
        <w:rPr>
          <w:rFonts w:ascii="宋体" w:hAnsi="宋体" w:eastAsia="宋体" w:cs="宋体"/>
          <w:sz w:val="24"/>
          <w:szCs w:val="24"/>
        </w:rPr>
      </w:pPr>
    </w:p>
    <w:p>
      <w:pPr>
        <w:autoSpaceDE w:val="0"/>
        <w:autoSpaceDN w:val="0"/>
        <w:adjustRightInd w:val="0"/>
        <w:spacing w:line="360" w:lineRule="auto"/>
        <w:ind w:firstLine="482" w:firstLineChars="200"/>
        <w:jc w:val="left"/>
        <w:outlineLvl w:val="2"/>
        <w:rPr>
          <w:rFonts w:hint="eastAsia" w:ascii="宋体" w:hAnsi="宋体" w:eastAsia="宋体" w:cs="宋体"/>
          <w:b/>
          <w:bCs/>
          <w:kern w:val="0"/>
          <w:sz w:val="24"/>
          <w:szCs w:val="24"/>
          <w:lang w:val="en-US" w:eastAsia="zh-CN"/>
        </w:rPr>
      </w:pPr>
      <w:bookmarkStart w:id="98" w:name="_Toc8096"/>
      <w:bookmarkStart w:id="99" w:name="_Toc19858"/>
      <w:bookmarkStart w:id="100" w:name="_Toc25451"/>
      <w:bookmarkStart w:id="101" w:name="_Toc16458"/>
      <w:bookmarkStart w:id="102" w:name="_Toc12187"/>
      <w:r>
        <w:rPr>
          <w:rFonts w:hint="eastAsia" w:ascii="宋体" w:hAnsi="宋体" w:eastAsia="宋体" w:cs="宋体"/>
          <w:b/>
          <w:bCs/>
          <w:kern w:val="0"/>
          <w:sz w:val="24"/>
          <w:szCs w:val="24"/>
        </w:rPr>
        <w:t>2.3.4 高校图书馆“三台”式组织结构模式</w:t>
      </w:r>
      <w:bookmarkEnd w:id="98"/>
      <w:bookmarkEnd w:id="99"/>
      <w:bookmarkEnd w:id="100"/>
      <w:bookmarkEnd w:id="101"/>
      <w:r>
        <w:rPr>
          <w:rFonts w:hint="eastAsia" w:ascii="宋体" w:hAnsi="宋体" w:eastAsia="宋体" w:cs="宋体"/>
          <w:b/>
          <w:bCs/>
          <w:kern w:val="0"/>
          <w:sz w:val="24"/>
          <w:szCs w:val="24"/>
          <w:lang w:val="en-US" w:eastAsia="zh-CN"/>
        </w:rPr>
        <w:t>架构</w:t>
      </w:r>
      <w:bookmarkEnd w:id="102"/>
    </w:p>
    <w:p>
      <w:pPr>
        <w:pStyle w:val="9"/>
        <w:spacing w:before="0" w:beforeAutospacing="0" w:after="0" w:afterAutospacing="0" w:line="360" w:lineRule="auto"/>
        <w:ind w:firstLine="480" w:firstLineChars="200"/>
        <w:jc w:val="both"/>
        <w:rPr>
          <w:bCs/>
        </w:rPr>
      </w:pPr>
      <w:r>
        <w:rPr>
          <w:rFonts w:hint="eastAsia"/>
          <w:bCs/>
        </w:rPr>
        <w:t>随外界环境的变化，高校图书馆组织结构变革已经开始。个体情况不同，机构设置上差异化已经出现，</w:t>
      </w:r>
      <w:r>
        <w:rPr>
          <w:rFonts w:hint="eastAsia"/>
          <w:bCs/>
          <w:color w:val="000000"/>
          <w:w w:val="108"/>
        </w:rPr>
        <w:t>有的业活动逐渐独立出来</w:t>
      </w:r>
      <w:r>
        <w:rPr>
          <w:rFonts w:hint="eastAsia"/>
          <w:bCs/>
        </w:rPr>
        <w:t>，如学科服务，阅读推广等。各个图书馆组织机构设置固然没有统一标准，但图书馆最基本业务活动始终围绕三个环节展开，即输入-文献信息收集、处理-文献信息组织与存储、输出-文献信息利用被读者所利用。Metters和 Vargas(2000)根据是否与客户接触，将服务运营管理业务划分为两个方面：前台和后台。前台主要承担客户接触活动,后台主要对非实时和非交易性业务进行标准化和专业化处理，尽管后台不接触用户，但借助信息技术不影响用户与组织间信息交流。</w:t>
      </w:r>
    </w:p>
    <w:p>
      <w:pPr>
        <w:pStyle w:val="9"/>
        <w:spacing w:before="0" w:beforeAutospacing="0" w:after="0" w:afterAutospacing="0" w:line="360" w:lineRule="auto"/>
        <w:ind w:firstLine="480" w:firstLineChars="200"/>
        <w:jc w:val="both"/>
        <w:rPr>
          <w:bCs/>
        </w:rPr>
      </w:pPr>
      <w:r>
        <w:rPr>
          <w:rFonts w:hint="eastAsia"/>
          <w:bCs/>
        </w:rPr>
        <w:t>本研究根据业务前后台划分方法，构建了高校图书馆生态型“三台”架构组织机构模式（见图2）。该模式中我们将高校图书馆业务活动分为三部分，直接接触读者业务活动为前台，中台为图书馆数据平台，文献信息资源建设工作为后台，生态型指在网络化情境下，图书馆前中后台各自独立，又高度相互依赖，相辅相成，缺一不可，形成共生共进的生态系统，原则是“小前台、强中台、稳后台”，理念是以“以用户为中心，以需求为导向，以服务为主线”，业务开展采用团队机制，以柔韧、开放和扁平为等特征。强调团队意识和能力意识，提高图书馆人的主观能动性和价值发挥。</w:t>
      </w:r>
    </w:p>
    <w:p>
      <w:pPr>
        <w:widowControl/>
        <w:shd w:val="clear" w:color="auto" w:fill="FFFFFF"/>
        <w:spacing w:line="360" w:lineRule="auto"/>
        <w:ind w:firstLine="482" w:firstLineChars="200"/>
        <w:jc w:val="left"/>
        <w:rPr>
          <w:rFonts w:ascii="宋体" w:hAnsi="宋体" w:eastAsia="宋体" w:cs="宋体"/>
          <w:b/>
          <w:kern w:val="0"/>
          <w:sz w:val="24"/>
          <w:szCs w:val="24"/>
        </w:rPr>
      </w:pPr>
      <w:r>
        <w:rPr>
          <w:rFonts w:hint="eastAsia" w:ascii="宋体" w:hAnsi="宋体" w:eastAsia="宋体" w:cs="宋体"/>
          <w:b/>
          <w:kern w:val="0"/>
          <w:sz w:val="24"/>
          <w:szCs w:val="24"/>
        </w:rPr>
        <w:t>（1）小前台—精准化和专业化</w:t>
      </w:r>
    </w:p>
    <w:p>
      <w:pPr>
        <w:widowControl/>
        <w:shd w:val="clear" w:color="auto" w:fill="FFFFFF"/>
        <w:spacing w:line="360" w:lineRule="auto"/>
        <w:ind w:firstLine="480" w:firstLineChars="200"/>
        <w:jc w:val="left"/>
        <w:rPr>
          <w:rFonts w:ascii="宋体" w:hAnsi="宋体" w:eastAsia="宋体" w:cs="宋体"/>
          <w:bCs/>
        </w:rPr>
      </w:pPr>
      <w:r>
        <w:rPr>
          <w:rStyle w:val="25"/>
          <w:rFonts w:hint="eastAsia" w:ascii="宋体" w:hAnsi="宋体" w:eastAsia="宋体" w:cs="宋体"/>
          <w:bCs/>
          <w:color w:val="333333"/>
          <w:sz w:val="24"/>
          <w:szCs w:val="24"/>
        </w:rPr>
        <w:t>“前台”</w:t>
      </w:r>
      <w:r>
        <w:rPr>
          <w:rStyle w:val="26"/>
          <w:rFonts w:hint="eastAsia" w:ascii="宋体" w:hAnsi="宋体" w:eastAsia="宋体" w:cs="宋体"/>
          <w:bCs/>
          <w:color w:val="333333"/>
          <w:sz w:val="24"/>
          <w:szCs w:val="24"/>
        </w:rPr>
        <w:t>是最贴近读者的部门</w:t>
      </w:r>
      <w:r>
        <w:rPr>
          <w:rFonts w:hint="eastAsia" w:ascii="宋体" w:hAnsi="宋体" w:eastAsia="宋体" w:cs="宋体"/>
          <w:bCs/>
          <w:kern w:val="0"/>
          <w:sz w:val="24"/>
          <w:szCs w:val="24"/>
        </w:rPr>
        <w:t>，</w:t>
      </w:r>
      <w:r>
        <w:rPr>
          <w:rStyle w:val="26"/>
          <w:rFonts w:hint="eastAsia" w:ascii="宋体" w:hAnsi="宋体" w:eastAsia="宋体" w:cs="宋体"/>
          <w:bCs/>
          <w:color w:val="333333"/>
          <w:sz w:val="24"/>
          <w:szCs w:val="24"/>
        </w:rPr>
        <w:t>通过服务使图书馆价值得以体现。</w:t>
      </w:r>
      <w:r>
        <w:rPr>
          <w:rFonts w:hint="eastAsia" w:ascii="宋体" w:hAnsi="宋体" w:eastAsia="宋体" w:cs="宋体"/>
          <w:bCs/>
          <w:kern w:val="0"/>
          <w:sz w:val="24"/>
          <w:szCs w:val="24"/>
        </w:rPr>
        <w:t>“小</w:t>
      </w:r>
      <w:r>
        <w:rPr>
          <w:rStyle w:val="26"/>
          <w:rFonts w:hint="eastAsia" w:ascii="宋体" w:hAnsi="宋体" w:eastAsia="宋体" w:cs="宋体"/>
          <w:bCs/>
          <w:color w:val="333333"/>
          <w:sz w:val="24"/>
          <w:szCs w:val="24"/>
        </w:rPr>
        <w:t>”</w:t>
      </w:r>
      <w:r>
        <w:rPr>
          <w:rStyle w:val="25"/>
          <w:rFonts w:hint="eastAsia" w:ascii="宋体" w:hAnsi="宋体" w:eastAsia="宋体" w:cs="宋体"/>
          <w:bCs/>
          <w:color w:val="333333"/>
          <w:sz w:val="24"/>
          <w:szCs w:val="24"/>
        </w:rPr>
        <w:t>前台</w:t>
      </w:r>
      <w:r>
        <w:rPr>
          <w:rStyle w:val="26"/>
          <w:rFonts w:hint="eastAsia" w:ascii="宋体" w:hAnsi="宋体" w:eastAsia="宋体" w:cs="宋体"/>
          <w:bCs/>
          <w:color w:val="333333"/>
          <w:sz w:val="24"/>
          <w:szCs w:val="24"/>
        </w:rPr>
        <w:t>指</w:t>
      </w:r>
      <w:r>
        <w:rPr>
          <w:rFonts w:hint="eastAsia" w:ascii="宋体" w:hAnsi="宋体" w:eastAsia="宋体" w:cs="宋体"/>
          <w:bCs/>
          <w:kern w:val="0"/>
          <w:sz w:val="24"/>
          <w:szCs w:val="24"/>
        </w:rPr>
        <w:t>根据读者需求和服务能力，灵活性和细分服务是小前台特点，根据用户需求和发展可</w:t>
      </w:r>
      <w:r>
        <w:rPr>
          <w:rFonts w:hint="eastAsia" w:ascii="宋体" w:hAnsi="宋体" w:eastAsia="宋体" w:cs="宋体"/>
          <w:bCs/>
          <w:color w:val="333333"/>
          <w:kern w:val="0"/>
          <w:sz w:val="24"/>
          <w:szCs w:val="24"/>
        </w:rPr>
        <w:t>设置多个职能团队，</w:t>
      </w:r>
      <w:r>
        <w:rPr>
          <w:rFonts w:hint="eastAsia" w:ascii="宋体" w:hAnsi="宋体" w:eastAsia="宋体" w:cs="宋体"/>
          <w:bCs/>
          <w:kern w:val="0"/>
          <w:sz w:val="24"/>
          <w:szCs w:val="24"/>
        </w:rPr>
        <w:t>如读者服务团队、学习支持团队、研究支持团队、阅读推广团队等，</w:t>
      </w:r>
      <w:r>
        <w:rPr>
          <w:rFonts w:hint="eastAsia" w:ascii="宋体" w:hAnsi="宋体" w:eastAsia="宋体" w:cs="宋体"/>
          <w:bCs/>
          <w:color w:val="333333"/>
          <w:kern w:val="0"/>
          <w:sz w:val="24"/>
          <w:szCs w:val="24"/>
        </w:rPr>
        <w:t>无数量限制。</w:t>
      </w:r>
      <w:r>
        <w:rPr>
          <w:rFonts w:hint="eastAsia" w:ascii="宋体" w:hAnsi="宋体" w:eastAsia="宋体" w:cs="宋体"/>
          <w:bCs/>
          <w:kern w:val="0"/>
          <w:sz w:val="24"/>
          <w:szCs w:val="24"/>
        </w:rPr>
        <w:t>服务向精准和专业方向化发展，某方面业务团队可进一步细分或整合，如学习支持团队分为学生学习支持团队和教师教学支持团队，设立读者服务团队完成流通和阅览工作等。采取柔性管理，赋予团队自我优化与调整权力，</w:t>
      </w:r>
      <w:r>
        <w:rPr>
          <w:rFonts w:hint="eastAsia" w:ascii="宋体" w:hAnsi="宋体" w:eastAsia="宋体" w:cs="宋体"/>
          <w:bCs/>
          <w:color w:val="333333"/>
          <w:sz w:val="24"/>
          <w:szCs w:val="24"/>
          <w:shd w:val="clear" w:color="auto" w:fill="FFFFFF"/>
        </w:rPr>
        <w:t>充分调动组员的积极性、主动性和创造性</w:t>
      </w:r>
      <w:r>
        <w:rPr>
          <w:rFonts w:hint="eastAsia" w:ascii="宋体" w:hAnsi="宋体" w:eastAsia="宋体" w:cs="宋体"/>
          <w:bCs/>
          <w:kern w:val="0"/>
          <w:sz w:val="24"/>
          <w:szCs w:val="24"/>
        </w:rPr>
        <w:t>。对</w:t>
      </w:r>
      <w:r>
        <w:rPr>
          <w:rStyle w:val="26"/>
          <w:rFonts w:hint="eastAsia" w:ascii="宋体" w:hAnsi="宋体" w:eastAsia="宋体" w:cs="宋体"/>
          <w:bCs/>
          <w:color w:val="333333"/>
          <w:sz w:val="24"/>
          <w:szCs w:val="24"/>
        </w:rPr>
        <w:t>前台人员</w:t>
      </w:r>
      <w:r>
        <w:rPr>
          <w:rFonts w:hint="eastAsia" w:ascii="宋体" w:hAnsi="宋体" w:eastAsia="宋体" w:cs="宋体"/>
          <w:color w:val="000000"/>
          <w:sz w:val="24"/>
          <w:szCs w:val="24"/>
        </w:rPr>
        <w:t>敏捷性要求最高，</w:t>
      </w:r>
      <w:r>
        <w:rPr>
          <w:rStyle w:val="26"/>
          <w:rFonts w:hint="eastAsia" w:ascii="宋体" w:hAnsi="宋体" w:eastAsia="宋体" w:cs="宋体"/>
          <w:bCs/>
          <w:color w:val="333333"/>
          <w:sz w:val="24"/>
          <w:szCs w:val="24"/>
        </w:rPr>
        <w:t>应</w:t>
      </w:r>
      <w:r>
        <w:rPr>
          <w:rStyle w:val="25"/>
          <w:rFonts w:hint="eastAsia" w:ascii="宋体" w:hAnsi="宋体" w:eastAsia="宋体" w:cs="宋体"/>
          <w:bCs/>
          <w:color w:val="333333"/>
          <w:sz w:val="24"/>
          <w:szCs w:val="24"/>
        </w:rPr>
        <w:t>快速洞察和理解读者需求，</w:t>
      </w:r>
      <w:r>
        <w:rPr>
          <w:rFonts w:hint="eastAsia" w:ascii="宋体" w:hAnsi="宋体" w:eastAsia="宋体" w:cs="宋体"/>
          <w:bCs/>
          <w:kern w:val="0"/>
          <w:sz w:val="24"/>
          <w:szCs w:val="24"/>
        </w:rPr>
        <w:t>并提供特性服务，如研究支持团队，嵌入科研服务之中，依托图书馆丰富的资源优势，为个体用户提供系列科研趋势分析、热点分析、态势分析等。跟踪和参与整个科研周期，</w:t>
      </w:r>
      <w:r>
        <w:rPr>
          <w:rStyle w:val="26"/>
          <w:rFonts w:hint="eastAsia" w:ascii="宋体" w:hAnsi="宋体" w:eastAsia="宋体" w:cs="宋体"/>
          <w:bCs/>
          <w:color w:val="333333"/>
          <w:sz w:val="24"/>
          <w:szCs w:val="24"/>
        </w:rPr>
        <w:t>从创新的视角来看，应为中后台的突破式创新提供启发。</w:t>
      </w:r>
    </w:p>
    <w:p>
      <w:pPr>
        <w:pStyle w:val="9"/>
        <w:spacing w:before="0" w:beforeAutospacing="0" w:after="0" w:afterAutospacing="0" w:line="360" w:lineRule="auto"/>
        <w:ind w:firstLine="480" w:firstLineChars="200"/>
        <w:jc w:val="both"/>
        <w:rPr>
          <w:bCs/>
        </w:rPr>
      </w:pPr>
      <w:r>
        <w:rPr>
          <w:rFonts w:hint="eastAsia"/>
        </w:rPr>
        <w:drawing>
          <wp:inline distT="0" distB="0" distL="114300" distR="114300">
            <wp:extent cx="4924425" cy="5572125"/>
            <wp:effectExtent l="19050" t="0" r="952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5" cstate="print"/>
                    <a:stretch>
                      <a:fillRect/>
                    </a:stretch>
                  </pic:blipFill>
                  <pic:spPr>
                    <a:xfrm>
                      <a:off x="0" y="0"/>
                      <a:ext cx="4927022" cy="5575064"/>
                    </a:xfrm>
                    <a:prstGeom prst="rect">
                      <a:avLst/>
                    </a:prstGeom>
                    <a:noFill/>
                    <a:ln>
                      <a:noFill/>
                    </a:ln>
                  </pic:spPr>
                </pic:pic>
              </a:graphicData>
            </a:graphic>
          </wp:inline>
        </w:drawing>
      </w:r>
    </w:p>
    <w:p>
      <w:pPr>
        <w:widowControl/>
        <w:shd w:val="clear" w:color="auto" w:fill="FFFFFF"/>
        <w:spacing w:line="360" w:lineRule="auto"/>
        <w:ind w:firstLine="2409" w:firstLineChars="1000"/>
        <w:jc w:val="left"/>
        <w:rPr>
          <w:rFonts w:ascii="宋体" w:hAnsi="宋体" w:eastAsia="宋体" w:cs="宋体"/>
          <w:b/>
          <w:bCs/>
          <w:kern w:val="0"/>
          <w:sz w:val="24"/>
          <w:szCs w:val="24"/>
        </w:rPr>
      </w:pPr>
      <w:r>
        <w:rPr>
          <w:rFonts w:hint="eastAsia" w:ascii="宋体" w:hAnsi="宋体" w:eastAsia="宋体" w:cs="宋体"/>
          <w:b/>
          <w:bCs/>
          <w:kern w:val="0"/>
          <w:sz w:val="24"/>
          <w:szCs w:val="24"/>
        </w:rPr>
        <w:t>图2: 图书馆“三台”式组织结构图</w:t>
      </w:r>
    </w:p>
    <w:p>
      <w:pPr>
        <w:pStyle w:val="9"/>
        <w:spacing w:before="0" w:beforeAutospacing="0" w:after="0" w:afterAutospacing="0" w:line="360" w:lineRule="auto"/>
        <w:ind w:firstLine="482" w:firstLineChars="200"/>
        <w:rPr>
          <w:b/>
        </w:rPr>
      </w:pPr>
      <w:r>
        <w:rPr>
          <w:rFonts w:hint="eastAsia"/>
          <w:b/>
        </w:rPr>
        <w:t>（2）强中台—无缝化和智能化</w:t>
      </w:r>
    </w:p>
    <w:p>
      <w:pPr>
        <w:pStyle w:val="9"/>
        <w:spacing w:before="0" w:beforeAutospacing="0" w:after="0" w:afterAutospacing="0" w:line="360" w:lineRule="auto"/>
        <w:ind w:firstLine="480" w:firstLineChars="200"/>
        <w:rPr>
          <w:b/>
          <w:bCs/>
          <w:color w:val="C00000"/>
        </w:rPr>
      </w:pPr>
      <w:r>
        <w:rPr>
          <w:rFonts w:hint="eastAsia"/>
          <w:color w:val="000000"/>
        </w:rPr>
        <w:t>中台既是后台的代言人，又是前台的业务伙伴，为前台提供数据资源支持。</w:t>
      </w:r>
      <w:r>
        <w:rPr>
          <w:rFonts w:hint="eastAsia"/>
          <w:bCs/>
          <w:color w:val="000000" w:themeColor="text1"/>
        </w:rPr>
        <w:t>设立数据管理与分析中心，根据开展的项目及任务，下设多个团队，如纸质文献数据加工团队、学校机构库数据处理团队等。</w:t>
      </w:r>
      <w:r>
        <w:rPr>
          <w:rFonts w:hint="eastAsia"/>
          <w:bCs/>
        </w:rPr>
        <w:t>负责一切业务数字化，一切数字业务化，发挥集聚效应，</w:t>
      </w:r>
      <w:r>
        <w:rPr>
          <w:rFonts w:hint="eastAsia"/>
          <w:color w:val="000000"/>
        </w:rPr>
        <w:t>打破信息“孤岛”，提升服务能力。</w:t>
      </w:r>
      <w:r>
        <w:rPr>
          <w:rFonts w:hint="eastAsia"/>
          <w:bCs/>
          <w:color w:val="000000" w:themeColor="text1"/>
        </w:rPr>
        <w:t>加强图书馆和学校数据资源的管理与开发利用，对一切跟文献信息组织有关业务活动进行整合，如图书期刊编目工作，网络信息资源利用开发工作等。扩大图书馆“数据资源”种类，平台数据应包括图书馆实体馆藏数据、购买的数据库数据、科研数据、机构库数据、合作共享数据、读者行为数据等。</w:t>
      </w:r>
      <w:r>
        <w:rPr>
          <w:rFonts w:hint="eastAsia"/>
          <w:bCs/>
        </w:rPr>
        <w:t>图书馆的信息组织不再局限于信息序化或信息整序的过程,而是关注信息活动中的每个环节,既包括对信息内容与格式、元数据知识组织体系、信息发布与交流等进行描述,也包括对信息内容或对象进行动态的链接、登记和重组,通过对信息集成、聚合、重组和分析来发现和提取信息资源中所隐含的知识或模式,在此基础上构建知识地图,为用户提供随时随地、透明地获得数字化的服务,对信息资源中的“知识元”进行提取、揭示与关联,以满足用户的动态需求。</w:t>
      </w:r>
      <w:r>
        <w:rPr>
          <w:rFonts w:hint="eastAsia"/>
        </w:rPr>
        <w:t>在购买文献资源基础上，图书馆人要发挥自身在数字和网络环境下知识加值服务能力，借助先进专业分析与挖掘工具对馆校级数据、资源数据、服务数据及其他数据进行开发和利用，为读者服务开展、评估及创新等提供数据支撑。</w:t>
      </w:r>
      <w:r>
        <w:rPr>
          <w:rFonts w:hint="eastAsia"/>
          <w:bCs/>
        </w:rPr>
        <w:t>团队人员应发挥主观能动性，利用自身专业知识和优势，借助知识服务的工具,数据分析工具等，开展基于图书馆资源数据分析挖掘工作，借助Web服务的理念与技术实现知识服务的发现与集成,实现图书馆自身转变，为用户提供文献的增值服务-“知识服务”。通过资源整合为用户提供“一站式”服务，建立图书馆“大数据”平台，</w:t>
      </w:r>
      <w:r>
        <w:rPr>
          <w:rFonts w:hint="eastAsia"/>
        </w:rPr>
        <w:t>实现资源的</w:t>
      </w:r>
      <w:r>
        <w:rPr>
          <w:rFonts w:hint="eastAsia"/>
          <w:lang w:val="zh-CN" w:bidi="zh-CN"/>
        </w:rPr>
        <w:t>“随</w:t>
      </w:r>
      <w:r>
        <w:rPr>
          <w:rFonts w:hint="eastAsia"/>
        </w:rPr>
        <w:t>需调用整体数据化。</w:t>
      </w:r>
      <w:r>
        <w:rPr>
          <w:rFonts w:hint="eastAsia"/>
          <w:bCs/>
        </w:rPr>
        <w:t>实现图书馆与读者需求的无缝链接，利用信息技术，建立一个多层次、多媒体、语义关联的、泛在的数字图书馆知识网，逐步实现图书馆的业务智能化。对图书馆</w:t>
      </w:r>
      <w:r>
        <w:rPr>
          <w:rFonts w:hint="eastAsia"/>
        </w:rPr>
        <w:t>各类型资源组织、检索系统和服务系统进行整合</w:t>
      </w:r>
      <w:r>
        <w:rPr>
          <w:rFonts w:hint="eastAsia"/>
          <w:bCs/>
        </w:rPr>
        <w:t>，开发整理本校数据资源，</w:t>
      </w:r>
    </w:p>
    <w:p>
      <w:pPr>
        <w:widowControl/>
        <w:shd w:val="clear" w:color="auto" w:fill="FFFFFF"/>
        <w:spacing w:line="360" w:lineRule="auto"/>
        <w:ind w:firstLine="482" w:firstLineChars="200"/>
        <w:jc w:val="left"/>
        <w:rPr>
          <w:rFonts w:ascii="宋体" w:hAnsi="宋体" w:eastAsia="宋体" w:cs="宋体"/>
          <w:b/>
          <w:bCs/>
          <w:kern w:val="0"/>
          <w:sz w:val="24"/>
          <w:szCs w:val="24"/>
        </w:rPr>
      </w:pPr>
      <w:r>
        <w:rPr>
          <w:rFonts w:hint="eastAsia" w:ascii="宋体" w:hAnsi="宋体" w:eastAsia="宋体" w:cs="宋体"/>
          <w:b/>
          <w:bCs/>
          <w:kern w:val="0"/>
          <w:sz w:val="24"/>
          <w:szCs w:val="24"/>
        </w:rPr>
        <w:t>（3）稳后台—战略化和特色化</w:t>
      </w:r>
    </w:p>
    <w:p>
      <w:pPr>
        <w:pStyle w:val="9"/>
        <w:spacing w:before="0" w:beforeAutospacing="0" w:after="0" w:afterAutospacing="0" w:line="360" w:lineRule="auto"/>
        <w:ind w:firstLine="480" w:firstLineChars="200"/>
        <w:rPr>
          <w:bCs/>
        </w:rPr>
      </w:pPr>
      <w:r>
        <w:rPr>
          <w:rFonts w:hint="eastAsia"/>
          <w:bCs/>
        </w:rPr>
        <w:t>设立图书馆文献信息资源建设中心，下设多个团队，如纸质文献采购团队、电子文献采购团队、学校机构库建设团队等，属于后台，是立馆之本和物质基础，对前台和中台起长期保障和支持作用，是前台资源池，中台的能量池。后台源源不断的投入和储备，才能长期赋能前台与中台。2015《普通高等学校图书馆规程》对文献信息资源建设要求是“制订文献信息资源发展规划和实施方案”，“图书馆在文献信息资源建设中应统筹纸质资源、数字资源和其他载体资源；保持重要文献、特色资源的完整性与连续性；注重收藏本校以及与本校有关的各类型载体的教学、科研资料与成果；寻访和接受社会捐赠；形成具有本校特色的文献信息资源体系”。馆藏建设是一项长期的任务，应有前瞻性、稳定性和风险意识，要对文献资源建设</w:t>
      </w:r>
      <w:r>
        <w:rPr>
          <w:rStyle w:val="25"/>
          <w:rFonts w:hint="eastAsia"/>
          <w:bCs/>
          <w:color w:val="333333"/>
        </w:rPr>
        <w:t>趋势进行分析、作馆藏体系从长期的角度进行战略设计</w:t>
      </w:r>
      <w:r>
        <w:rPr>
          <w:rFonts w:hint="eastAsia"/>
          <w:bCs/>
        </w:rPr>
        <w:t>。进入21世纪有的馆已将机构资源库、研究数据等都纳入了馆藏体系。每个馆应根据学校政策、学科发展、经费、馆藏体系等要求，制定文献信息资源建设管理条例,保证文献信息资源建设工作的规范性、标准性和传承性，要合理分配经费，降低采购风险，保持住馆藏体系稳定性、特色性和前沿性。在组织机构上设置信息资源建设团队。</w:t>
      </w:r>
    </w:p>
    <w:p>
      <w:pPr>
        <w:numPr>
          <w:ilvl w:val="0"/>
          <w:numId w:val="1"/>
        </w:numPr>
        <w:spacing w:line="360" w:lineRule="auto"/>
        <w:ind w:firstLine="482" w:firstLineChars="200"/>
        <w:rPr>
          <w:rFonts w:ascii="宋体" w:hAnsi="宋体" w:eastAsia="宋体" w:cs="宋体"/>
          <w:b/>
          <w:bCs/>
          <w:color w:val="333333"/>
          <w:sz w:val="24"/>
          <w:szCs w:val="24"/>
          <w:shd w:val="clear" w:color="auto" w:fill="FFFFFF"/>
        </w:rPr>
      </w:pPr>
      <w:r>
        <w:rPr>
          <w:rFonts w:hint="eastAsia" w:ascii="宋体" w:hAnsi="宋体" w:eastAsia="宋体" w:cs="宋体"/>
          <w:b/>
          <w:bCs/>
          <w:color w:val="333333"/>
          <w:sz w:val="24"/>
          <w:szCs w:val="24"/>
          <w:shd w:val="clear" w:color="auto" w:fill="FFFFFF"/>
        </w:rPr>
        <w:t>组织结构管理模式</w:t>
      </w:r>
    </w:p>
    <w:p>
      <w:pPr>
        <w:spacing w:line="360" w:lineRule="auto"/>
        <w:ind w:firstLine="480" w:firstLineChars="200"/>
        <w:rPr>
          <w:rFonts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采用团队管理机制，扁平化、柔性化、无边界化管理。</w:t>
      </w:r>
    </w:p>
    <w:p>
      <w:pPr>
        <w:spacing w:line="360" w:lineRule="auto"/>
        <w:ind w:firstLine="480" w:firstLineChars="200"/>
        <w:rPr>
          <w:rFonts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团队（Team）：由</w:t>
      </w:r>
      <w:r>
        <w:rPr>
          <w:rFonts w:hint="eastAsia" w:ascii="宋体" w:hAnsi="宋体" w:eastAsia="宋体" w:cs="宋体"/>
          <w:sz w:val="24"/>
          <w:szCs w:val="24"/>
          <w:shd w:val="clear" w:color="auto" w:fill="FFFFFF"/>
        </w:rPr>
        <w:t>基层</w:t>
      </w:r>
      <w:r>
        <w:rPr>
          <w:rFonts w:hint="eastAsia" w:ascii="宋体" w:hAnsi="宋体" w:eastAsia="宋体" w:cs="宋体"/>
          <w:color w:val="333333"/>
          <w:sz w:val="24"/>
          <w:szCs w:val="24"/>
          <w:shd w:val="clear" w:color="auto" w:fill="FFFFFF"/>
        </w:rPr>
        <w:t>和</w:t>
      </w:r>
      <w:r>
        <w:rPr>
          <w:rFonts w:hint="eastAsia" w:ascii="宋体" w:hAnsi="宋体" w:eastAsia="宋体" w:cs="宋体"/>
          <w:sz w:val="24"/>
          <w:szCs w:val="24"/>
          <w:shd w:val="clear" w:color="auto" w:fill="FFFFFF"/>
        </w:rPr>
        <w:t>管理层</w:t>
      </w:r>
      <w:r>
        <w:rPr>
          <w:rFonts w:hint="eastAsia" w:ascii="宋体" w:hAnsi="宋体" w:eastAsia="宋体" w:cs="宋体"/>
          <w:color w:val="333333"/>
          <w:sz w:val="24"/>
          <w:szCs w:val="24"/>
          <w:shd w:val="clear" w:color="auto" w:fill="FFFFFF"/>
        </w:rPr>
        <w:t>人员组成的一个</w:t>
      </w:r>
      <w:r>
        <w:rPr>
          <w:rFonts w:hint="eastAsia" w:ascii="宋体" w:hAnsi="宋体" w:eastAsia="宋体" w:cs="宋体"/>
          <w:sz w:val="24"/>
          <w:szCs w:val="24"/>
          <w:shd w:val="clear" w:color="auto" w:fill="FFFFFF"/>
        </w:rPr>
        <w:t>共同体</w:t>
      </w:r>
      <w:r>
        <w:rPr>
          <w:rFonts w:hint="eastAsia" w:ascii="宋体" w:hAnsi="宋体" w:eastAsia="宋体" w:cs="宋体"/>
          <w:color w:val="333333"/>
          <w:sz w:val="24"/>
          <w:szCs w:val="24"/>
          <w:shd w:val="clear" w:color="auto" w:fill="FFFFFF"/>
        </w:rPr>
        <w:t>，它合理利用每一个</w:t>
      </w:r>
      <w:r>
        <w:rPr>
          <w:rFonts w:hint="eastAsia" w:ascii="宋体" w:hAnsi="宋体" w:eastAsia="宋体" w:cs="宋体"/>
          <w:sz w:val="24"/>
          <w:szCs w:val="24"/>
          <w:shd w:val="clear" w:color="auto" w:fill="FFFFFF"/>
        </w:rPr>
        <w:t>成员</w:t>
      </w:r>
      <w:r>
        <w:rPr>
          <w:rFonts w:hint="eastAsia" w:ascii="宋体" w:hAnsi="宋体" w:eastAsia="宋体" w:cs="宋体"/>
          <w:color w:val="333333"/>
          <w:sz w:val="24"/>
          <w:szCs w:val="24"/>
          <w:shd w:val="clear" w:color="auto" w:fill="FFFFFF"/>
        </w:rPr>
        <w:t>的知识和技能协同工作，解决问题，达到</w:t>
      </w:r>
      <w:r>
        <w:rPr>
          <w:rFonts w:hint="eastAsia" w:ascii="宋体" w:hAnsi="宋体" w:eastAsia="宋体" w:cs="宋体"/>
          <w:sz w:val="24"/>
          <w:szCs w:val="24"/>
          <w:shd w:val="clear" w:color="auto" w:fill="FFFFFF"/>
        </w:rPr>
        <w:t>共同</w:t>
      </w:r>
      <w:r>
        <w:rPr>
          <w:rFonts w:hint="eastAsia" w:ascii="宋体" w:hAnsi="宋体" w:eastAsia="宋体" w:cs="宋体"/>
          <w:color w:val="333333"/>
          <w:sz w:val="24"/>
          <w:szCs w:val="24"/>
          <w:shd w:val="clear" w:color="auto" w:fill="FFFFFF"/>
        </w:rPr>
        <w:t>的</w:t>
      </w:r>
      <w:r>
        <w:rPr>
          <w:rFonts w:hint="eastAsia" w:ascii="宋体" w:hAnsi="宋体" w:eastAsia="宋体" w:cs="宋体"/>
          <w:sz w:val="24"/>
          <w:szCs w:val="24"/>
          <w:shd w:val="clear" w:color="auto" w:fill="FFFFFF"/>
        </w:rPr>
        <w:t>目标</w:t>
      </w:r>
      <w:r>
        <w:rPr>
          <w:rFonts w:hint="eastAsia" w:ascii="宋体" w:hAnsi="宋体" w:eastAsia="宋体" w:cs="宋体"/>
          <w:color w:val="333333"/>
          <w:sz w:val="24"/>
          <w:szCs w:val="24"/>
          <w:shd w:val="clear" w:color="auto" w:fill="FFFFFF"/>
        </w:rPr>
        <w:t>。团队核心是协同合作，</w:t>
      </w:r>
      <w:r>
        <w:rPr>
          <w:rFonts w:hint="eastAsia" w:ascii="宋体" w:hAnsi="宋体" w:eastAsia="宋体" w:cs="宋体"/>
          <w:sz w:val="24"/>
          <w:szCs w:val="24"/>
        </w:rPr>
        <w:t>高效的团队是由一群有能力的成员所组成，具有共同的使命感和集体的责任（见图3）。队员相互之间要有良好合作的个性品质,从而出色地完成任务。团队领导不是传统意义上的指挥和命令,而是对团队成员提供指导正确的导向, 每个团队成员可以因为在某方面的特长而在团队中发挥领导作用。</w:t>
      </w:r>
      <w:r>
        <w:rPr>
          <w:rFonts w:hint="eastAsia" w:ascii="宋体" w:hAnsi="宋体" w:eastAsia="宋体" w:cs="宋体"/>
          <w:color w:val="333333"/>
          <w:sz w:val="24"/>
          <w:szCs w:val="24"/>
          <w:shd w:val="clear" w:color="auto" w:fill="FFFFFF"/>
        </w:rPr>
        <w:t>团队精神是组织文化的一部分，良好的管理可以通过合适的</w:t>
      </w:r>
      <w:r>
        <w:rPr>
          <w:rFonts w:hint="eastAsia" w:ascii="宋体" w:hAnsi="宋体" w:eastAsia="宋体" w:cs="宋体"/>
          <w:sz w:val="24"/>
          <w:szCs w:val="24"/>
          <w:shd w:val="clear" w:color="auto" w:fill="FFFFFF"/>
        </w:rPr>
        <w:t>组织形态</w:t>
      </w:r>
      <w:r>
        <w:rPr>
          <w:rFonts w:hint="eastAsia" w:ascii="宋体" w:hAnsi="宋体" w:eastAsia="宋体" w:cs="宋体"/>
          <w:color w:val="333333"/>
          <w:sz w:val="24"/>
          <w:szCs w:val="24"/>
          <w:shd w:val="clear" w:color="auto" w:fill="FFFFFF"/>
        </w:rPr>
        <w:t>将每个人安排至合适的岗位，充分发挥其潜能。</w:t>
      </w:r>
    </w:p>
    <w:p>
      <w:pPr>
        <w:spacing w:line="360" w:lineRule="auto"/>
        <w:ind w:firstLine="480" w:firstLineChars="200"/>
        <w:rPr>
          <w:rFonts w:ascii="宋体" w:hAnsi="宋体" w:eastAsia="宋体" w:cs="宋体"/>
          <w:color w:val="333333"/>
          <w:sz w:val="24"/>
          <w:szCs w:val="24"/>
          <w:shd w:val="clear" w:color="auto" w:fill="FFFFFF"/>
        </w:rPr>
      </w:pPr>
    </w:p>
    <w:p>
      <w:pPr>
        <w:spacing w:line="360" w:lineRule="auto"/>
        <w:ind w:firstLine="480" w:firstLineChars="200"/>
        <w:rPr>
          <w:rFonts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drawing>
          <wp:inline distT="0" distB="0" distL="0" distR="0">
            <wp:extent cx="3847465" cy="2374900"/>
            <wp:effectExtent l="0" t="0" r="0" b="0"/>
            <wp:docPr id="12" name="图示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pPr>
        <w:spacing w:line="360" w:lineRule="auto"/>
        <w:ind w:firstLine="480" w:firstLineChars="200"/>
        <w:rPr>
          <w:rFonts w:ascii="宋体" w:hAnsi="宋体" w:eastAsia="宋体" w:cs="宋体"/>
          <w:b/>
          <w:color w:val="333333"/>
          <w:sz w:val="24"/>
          <w:szCs w:val="24"/>
          <w:shd w:val="clear" w:color="auto" w:fill="FFFFFF"/>
        </w:rPr>
      </w:pPr>
      <w:r>
        <w:rPr>
          <w:rFonts w:hint="eastAsia" w:ascii="宋体" w:hAnsi="宋体" w:eastAsia="宋体" w:cs="宋体"/>
          <w:color w:val="333333"/>
          <w:sz w:val="24"/>
          <w:szCs w:val="24"/>
          <w:shd w:val="clear" w:color="auto" w:fill="FFFFFF"/>
        </w:rPr>
        <w:t xml:space="preserve">             </w:t>
      </w:r>
      <w:r>
        <w:rPr>
          <w:rFonts w:hint="eastAsia" w:ascii="宋体" w:hAnsi="宋体" w:eastAsia="宋体" w:cs="宋体"/>
          <w:b/>
          <w:color w:val="333333"/>
          <w:sz w:val="24"/>
          <w:szCs w:val="24"/>
          <w:shd w:val="clear" w:color="auto" w:fill="FFFFFF"/>
        </w:rPr>
        <w:t>图3:  团队组织结构图</w:t>
      </w:r>
    </w:p>
    <w:p>
      <w:pPr>
        <w:spacing w:line="360" w:lineRule="auto"/>
        <w:ind w:firstLine="482" w:firstLineChars="200"/>
        <w:rPr>
          <w:rFonts w:ascii="宋体" w:hAnsi="宋体" w:eastAsia="宋体" w:cs="宋体"/>
          <w:b/>
          <w:color w:val="333333"/>
          <w:sz w:val="24"/>
          <w:szCs w:val="24"/>
          <w:shd w:val="clear" w:color="auto" w:fill="FFFFFF"/>
        </w:rPr>
      </w:pP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团队类型决定于团队总目标和任务性质，按存在时间长短分为长期团队、中期团队和短期团队。图书馆应根据自身情况，从战略和稳定角度出发，对图书馆的业务活动进行划分，最基本业务活动组建长期团队，相对稳定的业务活动组建中期团队，临时业务活动可由某一团队完成或组成短期团队。</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长期团队存在于组织的职能部门中,部门存在,则团队存在。团队的成员一般都是某个职能部门的员工。长期团队的目的是完成组织的基本职能,人员组成具有稳定性。图书馆中趋于稳定的业务活动如文献信息资源建设团队、信息数据处理团队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中期团队指半年到几年之间团队，为了完成某个特别项目设立的。如果项目需要不同领域的技能,则其人员来自许多部门,成员同时受团队的管理和原所在单位的管理。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短期团队是为了研究和解决某个问题或进行某项决策而设立的。问题解决后或决策任务结束后,团队也就解散。当出现新的问题需要解决或进行新的决策时,再组建新的团队。如果某个问题和工作任务需要组织系统内多个部门集中人力来完成,则团队成员可从有关部门抽调,成员同时接受团队的管理和原单位的管理。</w:t>
      </w:r>
    </w:p>
    <w:p>
      <w:pPr>
        <w:widowControl/>
        <w:shd w:val="clear" w:color="auto" w:fill="FFFFFF"/>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重组后的图书馆组织结构中团队之间采用网络组织结构模式管理，</w:t>
      </w:r>
      <w:r>
        <w:rPr>
          <w:rFonts w:hint="eastAsia" w:ascii="宋体" w:hAnsi="宋体" w:eastAsia="宋体" w:cs="宋体"/>
          <w:sz w:val="24"/>
          <w:szCs w:val="24"/>
        </w:rPr>
        <w:t>原则是“目标与需求导向、权责匹配、运行科学、精简高效，柔性设计”，</w:t>
      </w:r>
      <w:r>
        <w:rPr>
          <w:rFonts w:hint="eastAsia" w:ascii="宋体" w:hAnsi="宋体" w:eastAsia="宋体" w:cs="宋体"/>
          <w:kern w:val="0"/>
          <w:sz w:val="24"/>
          <w:szCs w:val="24"/>
        </w:rPr>
        <w:t>根据业务活动内容、目标、任务及时间要求等，团队可采取固定、协作、长期、短期、临时等多种方式组成，互相链接、协调联动、数据共享、信息互通。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扁平化：根据自我管理程度的高低,可以粗略地划分为高度自我管理团队、中度自我管理团队和低度自我管理团队等三种基本类型。</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管理学大师德鲁克曾经提出:“未来的企业组织将不再是一种金字塔式的等级制结构,而会逐步向扁平式结构演进”。新的组织结构减少了管理层次, 建立起一种紧缩的横向组织,使组织变得灵活、敏捷、富有弹性和创造性,能更好地适应不断变化着的环境;使组织结构扁平化,变得灵活敏捷,提高组织效率和效能。业务人员具有较大的管理幅度和权限,有利于他们主动性和创造性的发挥。</w:t>
      </w:r>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sz w:val="24"/>
          <w:szCs w:val="24"/>
        </w:rPr>
        <w:t>柔性化：柔性</w:t>
      </w:r>
      <w:r>
        <w:rPr>
          <w:rFonts w:hint="eastAsia" w:ascii="宋体" w:hAnsi="宋体" w:eastAsia="宋体" w:cs="宋体"/>
          <w:kern w:val="0"/>
          <w:sz w:val="24"/>
          <w:szCs w:val="24"/>
        </w:rPr>
        <w:t>化原则是指在一个组织中,为了实现某一个目标而把不同部门具有不同知识和技能的人集中于一个特定的动态的团体之中,共同完成某个项目,使组织富有柔性，柔性化的组织结构,可以使组织具有较强的应变能力,使图书馆职能更加多样化、服务质量日益高标准化,提高工作效率，团队模式是柔性化原则的最好体现。</w:t>
      </w:r>
    </w:p>
    <w:p>
      <w:pPr>
        <w:autoSpaceDE w:val="0"/>
        <w:autoSpaceDN w:val="0"/>
        <w:adjustRightIn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传统组织结构形式权力集中于中高层管理者手中,基层员工几乎没有自主决策权。柔性管理给予</w:t>
      </w:r>
      <w:r>
        <w:rPr>
          <w:rFonts w:hint="eastAsia" w:ascii="宋体" w:hAnsi="宋体" w:eastAsia="宋体" w:cs="宋体"/>
          <w:color w:val="000000"/>
          <w:sz w:val="24"/>
          <w:szCs w:val="24"/>
          <w:shd w:val="clear" w:color="auto" w:fill="FFFFFF"/>
        </w:rPr>
        <w:t>每个业务领域都能获得一定的授权，</w:t>
      </w:r>
      <w:r>
        <w:rPr>
          <w:rFonts w:hint="eastAsia" w:ascii="宋体" w:hAnsi="宋体" w:eastAsia="宋体" w:cs="宋体"/>
          <w:sz w:val="24"/>
          <w:szCs w:val="24"/>
        </w:rPr>
        <w:t>提高决策的实效性。如面对重要用户、重大活动,组织任务单一、人员精干的临时团队；根据图书馆发展和用户需求变化，团队下增设项目小组，细化业务内容等。赋予基层组织更大裁量权和决策的自主权,从而提高组织的柔性,这也是在原刚性组织结构上的量的变革。</w:t>
      </w:r>
    </w:p>
    <w:p>
      <w:pPr>
        <w:pStyle w:val="9"/>
        <w:spacing w:before="0" w:beforeAutospacing="0" w:after="0" w:afterAutospacing="0" w:line="360" w:lineRule="auto"/>
        <w:ind w:firstLine="480" w:firstLineChars="200"/>
        <w:rPr>
          <w:b/>
          <w:bCs/>
        </w:rPr>
      </w:pPr>
      <w:r>
        <w:rPr>
          <w:rFonts w:hint="eastAsia"/>
        </w:rPr>
        <w:t>无边界化：伦敦商学院的管理发展学教授査尔斯·汉迪提出,“存在着些通用的组织原则。组织必须是透明的,无疑是其中之一。”“组织既要集中化,同时又要分散化:既是紧密的,又是松散的;它们必须既作长远计划,又保持灵活性;它们的工作人员一方面应具有自主性,另一方面更应具有集体主义精神。” “无边界化”并不是不需要边界了,而是不需要僵硬的边界,</w:t>
      </w:r>
      <w:r>
        <w:rPr>
          <w:rFonts w:hint="eastAsia"/>
          <w:color w:val="000000"/>
        </w:rPr>
        <w:t>组织内部各部门之间，以及内外之间的边界将逐渐消融。</w:t>
      </w:r>
      <w:r>
        <w:rPr>
          <w:rFonts w:hint="eastAsia"/>
        </w:rPr>
        <w:t>各种要素和机能组合形成有机体，一个</w:t>
      </w:r>
      <w:r>
        <w:rPr>
          <w:rFonts w:hint="eastAsia"/>
          <w:color w:val="000000"/>
        </w:rPr>
        <w:t>命运共同体，模糊业务间的界限和原部门间的壁垒，共生共长。</w:t>
      </w:r>
    </w:p>
    <w:p>
      <w:pPr>
        <w:pStyle w:val="24"/>
        <w:autoSpaceDE w:val="0"/>
        <w:autoSpaceDN w:val="0"/>
        <w:adjustRightInd w:val="0"/>
        <w:spacing w:line="360" w:lineRule="auto"/>
        <w:ind w:firstLine="482"/>
        <w:jc w:val="left"/>
        <w:outlineLvl w:val="2"/>
        <w:rPr>
          <w:rFonts w:ascii="宋体" w:hAnsi="宋体" w:eastAsia="宋体" w:cs="宋体"/>
          <w:b/>
          <w:bCs/>
          <w:kern w:val="0"/>
          <w:sz w:val="24"/>
          <w:szCs w:val="24"/>
        </w:rPr>
      </w:pPr>
      <w:bookmarkStart w:id="103" w:name="_Toc19250"/>
      <w:bookmarkStart w:id="104" w:name="_Toc5499"/>
      <w:bookmarkStart w:id="105" w:name="_Toc23828"/>
      <w:bookmarkStart w:id="106" w:name="_Toc6645"/>
      <w:bookmarkStart w:id="107" w:name="_Toc30"/>
      <w:r>
        <w:rPr>
          <w:rFonts w:hint="eastAsia" w:ascii="宋体" w:hAnsi="宋体" w:eastAsia="宋体" w:cs="宋体"/>
          <w:b/>
          <w:bCs/>
          <w:kern w:val="0"/>
          <w:sz w:val="24"/>
          <w:szCs w:val="24"/>
        </w:rPr>
        <w:t>2.3.5 图书馆新型服务能力体系构建</w:t>
      </w:r>
      <w:bookmarkEnd w:id="103"/>
      <w:bookmarkEnd w:id="104"/>
      <w:bookmarkEnd w:id="105"/>
      <w:bookmarkEnd w:id="106"/>
      <w:bookmarkEnd w:id="107"/>
    </w:p>
    <w:p>
      <w:pPr>
        <w:autoSpaceDE w:val="0"/>
        <w:autoSpaceDN w:val="0"/>
        <w:adjustRightInd w:val="0"/>
        <w:spacing w:line="360" w:lineRule="auto"/>
        <w:ind w:firstLine="480" w:firstLineChars="200"/>
        <w:jc w:val="left"/>
        <w:rPr>
          <w:rFonts w:ascii="宋体" w:hAnsi="宋体" w:eastAsia="宋体" w:cs="宋体"/>
          <w:b/>
          <w:bCs/>
          <w:kern w:val="0"/>
          <w:sz w:val="24"/>
          <w:szCs w:val="24"/>
        </w:rPr>
      </w:pPr>
      <w:r>
        <w:rPr>
          <w:rFonts w:hint="eastAsia" w:ascii="宋体" w:hAnsi="宋体" w:eastAsia="宋体" w:cs="宋体"/>
          <w:kern w:val="0"/>
          <w:sz w:val="24"/>
          <w:szCs w:val="24"/>
        </w:rPr>
        <w:t>本研究从新型服务能力体系构建角度，对图书馆业务进行梳理、布局和架构，提出“三台式”组织结构管理模式，旨在更好地为用户服务、更好的发展图书馆事业,使图书馆能在激烈的市场竞争中拥有自己的立足之地。组织从等级制向团队制转变，人员从制度服务向文化服务转变，工作从书本位向人本位转变，业务从二线向一线转移，价值取向以用户为中心同时，也关注图书馆人员的角色定位，价值体现，重组后的组织结构呈扁平化,加强了横向联系,管理的中间层次减少,管理环节简化,不同部门、不同岗位的协作性增强,反馈机制健全,信息流速加快,对用户的信息需求变化和竞争动向的反应能力提高,整个组织变得更具柔性与适应性，许多非经常性的工作还可以靠临时组建的团队小组来突击完成。这样的组织结构能更好地适应当前瞬息万变的环境,从而能够有效地提高图书馆在信息社会中的竞争力，机构重组后,将使图书馆变静态结构为动态结构、变松散结构为紧密结构、变封闭结构为开放结构、变孤立结构为网状结构,各种资源得到进一步开发和优化配置,资源利用会更加科学有效,图书馆在管理、服务、角色等方面出现新的面貌。</w:t>
      </w:r>
    </w:p>
    <w:p>
      <w:pPr>
        <w:pStyle w:val="24"/>
        <w:autoSpaceDE w:val="0"/>
        <w:autoSpaceDN w:val="0"/>
        <w:adjustRightInd w:val="0"/>
        <w:spacing w:line="360" w:lineRule="auto"/>
        <w:ind w:left="420" w:leftChars="200" w:firstLine="0" w:firstLineChars="0"/>
        <w:jc w:val="left"/>
        <w:rPr>
          <w:rFonts w:ascii="宋体" w:hAnsi="宋体" w:eastAsia="宋体" w:cs="宋体"/>
          <w:b/>
          <w:bCs/>
          <w:kern w:val="0"/>
          <w:sz w:val="24"/>
          <w:szCs w:val="24"/>
        </w:rPr>
      </w:pPr>
      <w:bookmarkStart w:id="108" w:name="_Toc3255"/>
      <w:bookmarkStart w:id="109" w:name="_Toc3870"/>
      <w:bookmarkStart w:id="110" w:name="_Toc31251"/>
      <w:r>
        <w:rPr>
          <w:rFonts w:hint="eastAsia" w:ascii="宋体" w:hAnsi="宋体" w:eastAsia="宋体" w:cs="宋体"/>
          <w:b/>
          <w:bCs/>
          <w:kern w:val="0"/>
          <w:sz w:val="24"/>
          <w:szCs w:val="24"/>
        </w:rPr>
        <w:t>（1）管理理念</w:t>
      </w:r>
      <w:bookmarkEnd w:id="108"/>
      <w:bookmarkEnd w:id="109"/>
      <w:bookmarkEnd w:id="110"/>
    </w:p>
    <w:p>
      <w:pPr>
        <w:pStyle w:val="24"/>
        <w:autoSpaceDE w:val="0"/>
        <w:autoSpaceDN w:val="0"/>
        <w:adjustRightInd w:val="0"/>
        <w:spacing w:line="360" w:lineRule="auto"/>
        <w:ind w:firstLine="480"/>
        <w:jc w:val="left"/>
        <w:rPr>
          <w:rFonts w:ascii="宋体" w:hAnsi="宋体" w:eastAsia="宋体" w:cs="宋体"/>
          <w:color w:val="000000" w:themeColor="text1"/>
          <w:kern w:val="0"/>
          <w:sz w:val="24"/>
          <w:szCs w:val="24"/>
        </w:rPr>
      </w:pPr>
      <w:r>
        <w:rPr>
          <w:rFonts w:hint="eastAsia" w:ascii="宋体" w:hAnsi="宋体" w:eastAsia="宋体" w:cs="宋体"/>
          <w:color w:val="000000" w:themeColor="text1"/>
          <w:kern w:val="0"/>
          <w:sz w:val="24"/>
          <w:szCs w:val="24"/>
        </w:rPr>
        <w:t>在本研究中，业务流程重组后“以人为中心”的管理理念从两个方面进行理解。</w:t>
      </w:r>
    </w:p>
    <w:p>
      <w:pPr>
        <w:pStyle w:val="24"/>
        <w:autoSpaceDE w:val="0"/>
        <w:autoSpaceDN w:val="0"/>
        <w:adjustRightInd w:val="0"/>
        <w:spacing w:line="360" w:lineRule="auto"/>
        <w:ind w:firstLine="480"/>
        <w:jc w:val="left"/>
        <w:rPr>
          <w:rFonts w:ascii="宋体" w:hAnsi="宋体" w:eastAsia="宋体" w:cs="宋体"/>
          <w:b/>
          <w:bCs/>
          <w:kern w:val="0"/>
          <w:sz w:val="24"/>
          <w:szCs w:val="24"/>
        </w:rPr>
      </w:pPr>
      <w:r>
        <w:rPr>
          <w:rFonts w:hint="eastAsia" w:ascii="宋体" w:hAnsi="宋体" w:eastAsia="宋体" w:cs="宋体"/>
          <w:color w:val="000000" w:themeColor="text1"/>
          <w:kern w:val="0"/>
          <w:sz w:val="24"/>
          <w:szCs w:val="24"/>
        </w:rPr>
        <w:t>一方面要求高校图书馆以用户为中心,研究用户信息需求动向和他们需求的针对性、特色性,将信息资源服务工作落到实处。</w:t>
      </w:r>
      <w:r>
        <w:rPr>
          <w:rFonts w:hint="eastAsia" w:ascii="宋体" w:hAnsi="宋体" w:eastAsia="宋体" w:cs="宋体"/>
          <w:kern w:val="0"/>
          <w:sz w:val="24"/>
          <w:szCs w:val="24"/>
        </w:rPr>
        <w:t>按用户的个性喜好提供个性化聚合服务，实现用户个性化门户与图书馆门户的无缝对接，为用户提供精确、高效、智能化的服务。通过对“内容”的聚合、迁移以及互动,使得用户可以方便地获得内容管理服务、个性化的服务、知识过滤服务以及进行用户之间知识的沟通与共享。推动信息服务不断向个性化、精准化和智能化方向发展</w:t>
      </w:r>
      <w:r>
        <w:rPr>
          <w:rFonts w:hint="eastAsia" w:ascii="宋体" w:hAnsi="宋体" w:eastAsia="宋体" w:cs="宋体"/>
          <w:color w:val="000000" w:themeColor="text1"/>
          <w:kern w:val="0"/>
          <w:sz w:val="24"/>
          <w:szCs w:val="24"/>
        </w:rPr>
        <w:t>。</w:t>
      </w:r>
    </w:p>
    <w:p>
      <w:pPr>
        <w:autoSpaceDE w:val="0"/>
        <w:autoSpaceDN w:val="0"/>
        <w:adjustRightInd w:val="0"/>
        <w:spacing w:line="360" w:lineRule="auto"/>
        <w:ind w:firstLine="480" w:firstLineChars="200"/>
        <w:jc w:val="left"/>
        <w:rPr>
          <w:rFonts w:ascii="宋体" w:hAnsi="宋体" w:eastAsia="宋体" w:cs="宋体"/>
          <w:color w:val="000000" w:themeColor="text1"/>
          <w:sz w:val="24"/>
          <w:szCs w:val="24"/>
          <w:shd w:val="clear" w:color="auto" w:fill="FFFFFF"/>
        </w:rPr>
      </w:pPr>
      <w:r>
        <w:rPr>
          <w:rFonts w:hint="eastAsia" w:ascii="宋体" w:hAnsi="宋体" w:eastAsia="宋体" w:cs="宋体"/>
          <w:color w:val="000000" w:themeColor="text1"/>
          <w:kern w:val="0"/>
          <w:sz w:val="24"/>
          <w:szCs w:val="24"/>
        </w:rPr>
        <w:t>另一方面,在内部工作人员的管理上以员工为中心。</w:t>
      </w:r>
      <w:r>
        <w:rPr>
          <w:rFonts w:hint="eastAsia" w:ascii="宋体" w:hAnsi="宋体" w:eastAsia="宋体" w:cs="宋体"/>
          <w:color w:val="000000" w:themeColor="text1"/>
          <w:sz w:val="24"/>
          <w:szCs w:val="24"/>
          <w:shd w:val="clear" w:color="auto" w:fill="FFFFFF"/>
        </w:rPr>
        <w:t>新的组织结构形式，在强调用户为本的基础上，也注重图书馆员价值实现。</w:t>
      </w:r>
      <w:r>
        <w:rPr>
          <w:rFonts w:hint="eastAsia" w:ascii="宋体" w:hAnsi="宋体" w:eastAsia="宋体" w:cs="宋体"/>
          <w:color w:val="000000" w:themeColor="text1"/>
          <w:kern w:val="0"/>
          <w:sz w:val="24"/>
          <w:szCs w:val="24"/>
        </w:rPr>
        <w:t>通过组织结构再造，改革以往等级化的科层制，采用团队式组织管理体系，使图书馆的业务工作立体化、丰富化、扁平化, 给员工提供一个可以自由发挥的空间,充分发挥馆员的主观能动性，让馆员在各自集体中获得适当的分工,重新认识自己的潜力和价值。要加强对馆员的培训，提高综合业务能力。</w:t>
      </w:r>
    </w:p>
    <w:p>
      <w:pPr>
        <w:autoSpaceDE w:val="0"/>
        <w:autoSpaceDN w:val="0"/>
        <w:adjustRightInd w:val="0"/>
        <w:spacing w:line="360" w:lineRule="auto"/>
        <w:ind w:left="420" w:leftChars="200"/>
        <w:jc w:val="left"/>
        <w:rPr>
          <w:rFonts w:ascii="宋体" w:hAnsi="宋体" w:eastAsia="宋体" w:cs="宋体"/>
          <w:b/>
          <w:bCs/>
          <w:color w:val="000000" w:themeColor="text1"/>
          <w:kern w:val="0"/>
          <w:sz w:val="24"/>
          <w:szCs w:val="24"/>
        </w:rPr>
      </w:pPr>
      <w:bookmarkStart w:id="111" w:name="_Toc2973"/>
      <w:bookmarkStart w:id="112" w:name="_Toc23305"/>
      <w:bookmarkStart w:id="113" w:name="_Toc7009"/>
      <w:r>
        <w:rPr>
          <w:rFonts w:hint="eastAsia" w:ascii="宋体" w:hAnsi="宋体" w:eastAsia="宋体" w:cs="宋体"/>
          <w:b/>
          <w:bCs/>
          <w:color w:val="000000" w:themeColor="text1"/>
          <w:kern w:val="0"/>
          <w:sz w:val="24"/>
          <w:szCs w:val="24"/>
        </w:rPr>
        <w:t>（2）信息资源</w:t>
      </w:r>
      <w:bookmarkEnd w:id="111"/>
      <w:bookmarkEnd w:id="112"/>
      <w:bookmarkEnd w:id="113"/>
    </w:p>
    <w:p>
      <w:pPr>
        <w:autoSpaceDE w:val="0"/>
        <w:autoSpaceDN w:val="0"/>
        <w:adjustRightInd w:val="0"/>
        <w:spacing w:line="360" w:lineRule="auto"/>
        <w:ind w:firstLine="480" w:firstLineChars="200"/>
        <w:jc w:val="left"/>
        <w:rPr>
          <w:rFonts w:ascii="宋体" w:hAnsi="宋体" w:eastAsia="宋体" w:cs="宋体"/>
          <w:color w:val="000000" w:themeColor="text1"/>
          <w:kern w:val="0"/>
          <w:sz w:val="24"/>
          <w:szCs w:val="24"/>
        </w:rPr>
      </w:pPr>
      <w:r>
        <w:rPr>
          <w:rFonts w:hint="eastAsia" w:ascii="宋体" w:hAnsi="宋体" w:eastAsia="宋体" w:cs="宋体"/>
          <w:color w:val="000000" w:themeColor="text1"/>
          <w:kern w:val="0"/>
          <w:sz w:val="24"/>
          <w:szCs w:val="24"/>
        </w:rPr>
        <w:t>在本研究中，将图书馆的信息资源建设分为两部分，一部分是后台的图书馆的文献资源建设，另一部分通过中台处理形成是数据信息资源。</w:t>
      </w:r>
      <w:r>
        <w:rPr>
          <w:rFonts w:hint="eastAsia" w:ascii="宋体" w:hAnsi="宋体" w:eastAsia="宋体" w:cs="宋体"/>
          <w:color w:val="333333"/>
          <w:kern w:val="0"/>
          <w:sz w:val="24"/>
          <w:szCs w:val="24"/>
        </w:rPr>
        <w:t>图书馆要对各个相对独立的信息资源系统中的数据对象、功能结构进行融合、类聚和重组,将内部信息资源和外部信息资源进行有机融合，架构为一个新的有机整体,形成一个效能更好、效率更高的信息资源体系,</w:t>
      </w:r>
      <w:r>
        <w:rPr>
          <w:rFonts w:hint="eastAsia" w:ascii="宋体" w:hAnsi="宋体" w:eastAsia="宋体" w:cs="宋体"/>
          <w:color w:val="000000" w:themeColor="text1"/>
          <w:kern w:val="0"/>
          <w:sz w:val="24"/>
          <w:szCs w:val="24"/>
        </w:rPr>
        <w:t>它们是图书馆一切服务的基础和保障。</w:t>
      </w:r>
    </w:p>
    <w:p>
      <w:pPr>
        <w:autoSpaceDE w:val="0"/>
        <w:autoSpaceDN w:val="0"/>
        <w:adjustRightInd w:val="0"/>
        <w:spacing w:line="360" w:lineRule="auto"/>
        <w:ind w:firstLine="480" w:firstLineChars="200"/>
        <w:jc w:val="left"/>
        <w:rPr>
          <w:rFonts w:ascii="宋体" w:hAnsi="宋体" w:eastAsia="宋体" w:cs="宋体"/>
          <w:color w:val="000000" w:themeColor="text1"/>
          <w:kern w:val="0"/>
          <w:sz w:val="24"/>
          <w:szCs w:val="24"/>
        </w:rPr>
      </w:pPr>
      <w:r>
        <w:rPr>
          <w:rFonts w:hint="eastAsia" w:ascii="宋体" w:hAnsi="宋体" w:eastAsia="宋体" w:cs="宋体"/>
          <w:color w:val="000000" w:themeColor="text1"/>
          <w:kern w:val="0"/>
          <w:sz w:val="24"/>
          <w:szCs w:val="24"/>
        </w:rPr>
        <w:t>在信息资源建设中，强调形成特色馆藏体系，克服文献收藏重复雷同。由于历史或学科发展的原因，大学都有特色学科和研究重点方向，积累了大量资料，同时图书馆一般也都收藏各具特色的学科资源，这些学科文献是珍贵资源，及时而恰当地组织这些特色资源，建设数据库或学科机构知识库，在知识垄断的今天,已成为资源共享,数据交换的重要资源。</w:t>
      </w:r>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图书馆还应发挥图书馆对信息组织分析专业优势，逐步</w:t>
      </w:r>
      <w:r>
        <w:rPr>
          <w:rFonts w:hint="eastAsia" w:ascii="宋体" w:hAnsi="宋体" w:eastAsia="宋体" w:cs="宋体"/>
          <w:color w:val="000000" w:themeColor="text1"/>
          <w:kern w:val="0"/>
          <w:sz w:val="24"/>
          <w:szCs w:val="24"/>
        </w:rPr>
        <w:t>实现从数据收集到数据分析再到数据应用的过渡，</w:t>
      </w:r>
      <w:r>
        <w:rPr>
          <w:rFonts w:hint="eastAsia" w:ascii="宋体" w:hAnsi="宋体" w:eastAsia="宋体" w:cs="宋体"/>
          <w:kern w:val="0"/>
          <w:sz w:val="24"/>
          <w:szCs w:val="24"/>
        </w:rPr>
        <w:t>打破了图书馆传统数据的边界和仅依靠图书馆购买文献资源局面，如对本校相关科研数据进行整合，为科研决策和学科发展提供参考</w:t>
      </w:r>
      <w:r>
        <w:rPr>
          <w:rFonts w:hint="eastAsia" w:ascii="宋体" w:hAnsi="宋体" w:eastAsia="宋体" w:cs="宋体"/>
          <w:color w:val="000000" w:themeColor="text1"/>
          <w:kern w:val="0"/>
          <w:sz w:val="24"/>
          <w:szCs w:val="24"/>
        </w:rPr>
        <w:t>。</w:t>
      </w:r>
    </w:p>
    <w:p>
      <w:pPr>
        <w:pStyle w:val="24"/>
        <w:autoSpaceDE w:val="0"/>
        <w:autoSpaceDN w:val="0"/>
        <w:adjustRightInd w:val="0"/>
        <w:spacing w:line="360" w:lineRule="auto"/>
        <w:ind w:left="420" w:leftChars="200" w:firstLine="0" w:firstLineChars="0"/>
        <w:jc w:val="left"/>
        <w:rPr>
          <w:rFonts w:ascii="宋体" w:hAnsi="宋体" w:eastAsia="宋体" w:cs="宋体"/>
          <w:b/>
          <w:bCs/>
          <w:kern w:val="0"/>
          <w:sz w:val="24"/>
          <w:szCs w:val="24"/>
        </w:rPr>
      </w:pPr>
      <w:bookmarkStart w:id="114" w:name="_Toc10466"/>
      <w:bookmarkStart w:id="115" w:name="_Toc28958"/>
      <w:bookmarkStart w:id="116" w:name="_Toc19433"/>
      <w:r>
        <w:rPr>
          <w:rFonts w:hint="eastAsia" w:ascii="宋体" w:hAnsi="宋体" w:eastAsia="宋体" w:cs="宋体"/>
          <w:b/>
          <w:bCs/>
          <w:kern w:val="0"/>
          <w:sz w:val="24"/>
          <w:szCs w:val="24"/>
        </w:rPr>
        <w:t>（3）服务体系</w:t>
      </w:r>
      <w:bookmarkEnd w:id="114"/>
      <w:bookmarkEnd w:id="115"/>
      <w:bookmarkEnd w:id="116"/>
    </w:p>
    <w:p>
      <w:pPr>
        <w:pStyle w:val="24"/>
        <w:autoSpaceDE w:val="0"/>
        <w:autoSpaceDN w:val="0"/>
        <w:adjustRightIn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在本研究中，建立以用户为中心的大前台,具有灵活互动机制立体服务模式，能细化各项服务工作，直接与读者需求进行对接。</w:t>
      </w:r>
    </w:p>
    <w:p>
      <w:pPr>
        <w:pStyle w:val="24"/>
        <w:autoSpaceDE w:val="0"/>
        <w:autoSpaceDN w:val="0"/>
        <w:adjustRightIn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用户的服务需求永远是图书馆信息服务开展的原动力、出发点和最终目标，图书馆用户的数量、结构和行为习惯的变化必然带来用户服务需求的变化。过去图书馆只把显性知识进行简单收集、整理和储存，使之有序化，向用户提供存储位置和获取方式，而较少关心用户获取信息的目的。如今随着社会的发展，信息技术的进步，用户的信息需求表现出个性化和多元化要求。用户不在意图书馆拥有何种有形资源，不再满足于获得简单的文献线索和信息产品服务，他们更看重图书馆能否根据自己的信息需求，提供包括文献在内的各类信息资源；或者构建一个包括图书馆在内、便于他们获取资源的环境；希望获得能够直接解决问题的知识或服务，甚至最好能够直接给出问题的解决方案。图书馆必须改进信息服务方式，以满足用户个性化和多元化需求。如设立学习支持团队，及时了解读者的需求，通过跟踪读者的行为和属性特征来调查研究读者的兴趣，有的放矢提供服务，推荐和提供与读者兴趣相关的信息资源，还允许读者对资源进行收藏、订阅和管理等，使信息服务得到增值。</w:t>
      </w:r>
    </w:p>
    <w:p>
      <w:pPr>
        <w:pStyle w:val="24"/>
        <w:autoSpaceDE w:val="0"/>
        <w:autoSpaceDN w:val="0"/>
        <w:adjustRightInd w:val="0"/>
        <w:spacing w:line="360" w:lineRule="auto"/>
        <w:ind w:firstLine="482"/>
        <w:jc w:val="left"/>
        <w:rPr>
          <w:rFonts w:ascii="宋体" w:hAnsi="宋体" w:eastAsia="宋体" w:cs="宋体"/>
          <w:b/>
          <w:bCs/>
          <w:kern w:val="0"/>
          <w:sz w:val="24"/>
          <w:szCs w:val="24"/>
          <w:u w:val="single"/>
        </w:rPr>
      </w:pPr>
      <w:bookmarkStart w:id="117" w:name="_Toc31473"/>
      <w:bookmarkStart w:id="118" w:name="_Toc25787"/>
      <w:bookmarkStart w:id="119" w:name="_Toc14316"/>
      <w:r>
        <w:rPr>
          <w:rFonts w:hint="eastAsia" w:ascii="宋体" w:hAnsi="宋体" w:eastAsia="宋体" w:cs="宋体"/>
          <w:b/>
          <w:bCs/>
          <w:kern w:val="0"/>
          <w:sz w:val="24"/>
          <w:szCs w:val="24"/>
        </w:rPr>
        <w:t>（4）馆员角色</w:t>
      </w:r>
      <w:bookmarkEnd w:id="117"/>
      <w:bookmarkEnd w:id="118"/>
      <w:bookmarkEnd w:id="119"/>
    </w:p>
    <w:p>
      <w:pPr>
        <w:widowControl/>
        <w:shd w:val="clear" w:color="auto" w:fill="FFFFFF"/>
        <w:spacing w:line="360" w:lineRule="auto"/>
        <w:ind w:firstLine="480" w:firstLineChars="200"/>
        <w:jc w:val="left"/>
        <w:rPr>
          <w:rFonts w:ascii="宋体" w:hAnsi="宋体" w:eastAsia="宋体" w:cs="宋体"/>
          <w:color w:val="333333"/>
          <w:kern w:val="0"/>
          <w:sz w:val="24"/>
          <w:szCs w:val="24"/>
        </w:rPr>
      </w:pPr>
      <w:r>
        <w:rPr>
          <w:rFonts w:hint="eastAsia" w:ascii="宋体" w:hAnsi="宋体" w:eastAsia="宋体" w:cs="宋体"/>
          <w:kern w:val="0"/>
          <w:sz w:val="24"/>
          <w:szCs w:val="24"/>
        </w:rPr>
        <w:t>以往对图书馆工作评价中，“默默无闻”是常用语。图书馆的服务多为被动式服务，坐等用户上门，馆员缺乏主动服务意识，渐渐出现用户远离图书馆现象。</w:t>
      </w:r>
      <w:r>
        <w:rPr>
          <w:rFonts w:hint="eastAsia" w:ascii="宋体" w:hAnsi="宋体" w:eastAsia="宋体" w:cs="宋体"/>
          <w:color w:val="333333"/>
          <w:kern w:val="0"/>
          <w:sz w:val="24"/>
          <w:szCs w:val="24"/>
        </w:rPr>
        <w:t>同时层级组织结构，提供的服务不灵活、易僵化，很难满足用户个性化和多元化的信息需求。</w:t>
      </w:r>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图书馆业务流程重组后，组织结构重组后人员关系以团队形式管理。通过团</w:t>
      </w:r>
      <w:r>
        <w:rPr>
          <w:rFonts w:hint="eastAsia" w:ascii="宋体" w:hAnsi="宋体" w:eastAsia="宋体" w:cs="宋体"/>
          <w:color w:val="000000" w:themeColor="text1"/>
          <w:kern w:val="0"/>
          <w:sz w:val="24"/>
          <w:szCs w:val="24"/>
        </w:rPr>
        <w:t>队建立一种创新、交流、学习和应用知识、传播知识的环境与激励机制,让团队</w:t>
      </w:r>
      <w:r>
        <w:rPr>
          <w:rFonts w:hint="eastAsia" w:ascii="宋体" w:hAnsi="宋体" w:eastAsia="宋体" w:cs="宋体"/>
          <w:kern w:val="0"/>
          <w:sz w:val="24"/>
          <w:szCs w:val="24"/>
        </w:rPr>
        <w:t>成员参与设计团队的工作并开展知识个体相互弥补的相关任务，扁平化管理，赋予基层更多的权利，可根据任务制定个人权责，调整人数等。团队不仅是人的集合，更是能力的协同，对每个人在知识、技术、能力等方面的提出了更高要求。尽管每位馆员不可能在所有领域面面俱到成为全能型专家,但在团队中要寻求自己的最佳位置,在大学的教学、科研过程中依靠数字工具或平台为用户提供信息的加工、传播、发现、管理、利用、创新、保存等,扮演好信息发布者、信息加工者、信息资源管理者、知识创新者、学习支持者、虚拟交流组织者等多重合作伙伴的角色。角色和关系的重新定位，促使每个人必须不断学习，更新知识，否则会淘汰出局。</w:t>
      </w:r>
      <w:bookmarkStart w:id="120" w:name="_Toc19377"/>
      <w:bookmarkStart w:id="121" w:name="_Toc2628"/>
      <w:bookmarkStart w:id="122" w:name="_Toc21092"/>
    </w:p>
    <w:p>
      <w:pPr>
        <w:widowControl/>
        <w:spacing w:line="360" w:lineRule="auto"/>
        <w:ind w:firstLine="482" w:firstLineChars="200"/>
        <w:jc w:val="left"/>
        <w:outlineLvl w:val="2"/>
        <w:rPr>
          <w:rFonts w:hint="eastAsia" w:ascii="宋体" w:hAnsi="宋体" w:eastAsia="宋体" w:cs="宋体"/>
          <w:b/>
          <w:bCs/>
          <w:kern w:val="0"/>
          <w:sz w:val="24"/>
          <w:szCs w:val="24"/>
          <w:lang w:val="en-US" w:eastAsia="zh-CN"/>
        </w:rPr>
      </w:pPr>
      <w:bookmarkStart w:id="123" w:name="_Toc28751"/>
      <w:bookmarkStart w:id="124" w:name="_Toc21989"/>
      <w:r>
        <w:rPr>
          <w:rFonts w:hint="eastAsia" w:ascii="宋体" w:hAnsi="宋体" w:eastAsia="宋体" w:cs="宋体"/>
          <w:b/>
          <w:bCs/>
          <w:kern w:val="0"/>
          <w:sz w:val="24"/>
          <w:szCs w:val="24"/>
        </w:rPr>
        <w:t>2.3.6实践</w:t>
      </w:r>
      <w:bookmarkEnd w:id="123"/>
      <w:bookmarkEnd w:id="124"/>
      <w:r>
        <w:rPr>
          <w:rFonts w:hint="eastAsia" w:ascii="宋体" w:hAnsi="宋体" w:eastAsia="宋体" w:cs="宋体"/>
          <w:b/>
          <w:bCs/>
          <w:kern w:val="0"/>
          <w:sz w:val="24"/>
          <w:szCs w:val="24"/>
          <w:lang w:val="en-US" w:eastAsia="zh-CN"/>
        </w:rPr>
        <w:t>效果</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结合课题研究，设计本馆《文献检索》课教学改革方案，提出了教学人员管理“团队化”、教学对象培训“线上化”和教学内容构建“模块化”改革思路。2019年下半年方案获批并实施，将教学人员（总计17人）按团队管理，2人以上可自由组合形成团队，团队设负责人一名，每个团队独立开展工作，各个组之间人员可流动或一个人进入数个团队中，鼓励竞争，也支持合作，使每个人的价值充分得到体现。改革以往学生进馆面对面单一培训方式，积极筹备线上教学素材。教学内容在信息资源获取与分析利用框架下，每个人或团队可根据工作、研究方向和专业特长等选取2-3个专题，如搜索引擎专题、信息获取技巧专题等制作“模块”式教学课件，以便教学时可以随机组配。 2020年春季学期，本课成功纳入学校通识教学类课程体系，并实现了线上教学，通过各个团队通力合作，16学时课程，总计录制视频资源61个，时间850多分钟。课程从3月底上线以后，截止到目前为止，已开课的四个课堂累计点击量达13万余次。选课学生的优良率达80%以上，取得了良好的效果。</w:t>
      </w:r>
    </w:p>
    <w:p>
      <w:pPr>
        <w:widowControl/>
        <w:numPr>
          <w:ilvl w:val="0"/>
          <w:numId w:val="2"/>
        </w:numPr>
        <w:spacing w:line="360" w:lineRule="auto"/>
        <w:jc w:val="left"/>
        <w:rPr>
          <w:rFonts w:ascii="宋体" w:hAnsi="宋体" w:eastAsia="宋体" w:cs="宋体"/>
          <w:b/>
          <w:bCs/>
          <w:sz w:val="24"/>
          <w:szCs w:val="24"/>
        </w:rPr>
      </w:pPr>
      <w:r>
        <w:rPr>
          <w:rFonts w:hint="eastAsia" w:ascii="宋体" w:hAnsi="宋体" w:eastAsia="宋体" w:cs="宋体"/>
          <w:b/>
          <w:bCs/>
          <w:sz w:val="24"/>
          <w:szCs w:val="24"/>
        </w:rPr>
        <w:t>《文献检索》课线上教学基本素材截图</w:t>
      </w:r>
    </w:p>
    <w:p>
      <w:pPr>
        <w:widowControl/>
        <w:spacing w:line="360" w:lineRule="auto"/>
        <w:jc w:val="left"/>
        <w:rPr>
          <w:rFonts w:ascii="宋体" w:hAnsi="宋体" w:eastAsia="宋体" w:cs="宋体"/>
        </w:rPr>
      </w:pPr>
      <w:r>
        <w:rPr>
          <w:rFonts w:hint="eastAsia" w:ascii="宋体" w:hAnsi="宋体" w:eastAsia="宋体" w:cs="宋体"/>
          <w:b/>
          <w:bCs/>
          <w:sz w:val="24"/>
          <w:szCs w:val="24"/>
        </w:rPr>
        <w:t>课程内容介绍</w:t>
      </w:r>
      <w:r>
        <w:rPr>
          <w:rFonts w:hint="eastAsia" w:ascii="宋体" w:hAnsi="宋体" w:eastAsia="宋体" w:cs="宋体"/>
        </w:rPr>
        <w:drawing>
          <wp:inline distT="0" distB="0" distL="114300" distR="114300">
            <wp:extent cx="5441950" cy="1609725"/>
            <wp:effectExtent l="19050" t="19050" r="6350" b="952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30" cstate="print"/>
                    <a:stretch>
                      <a:fillRect/>
                    </a:stretch>
                  </pic:blipFill>
                  <pic:spPr>
                    <a:xfrm>
                      <a:off x="0" y="0"/>
                      <a:ext cx="5441950" cy="1609725"/>
                    </a:xfrm>
                    <a:prstGeom prst="rect">
                      <a:avLst/>
                    </a:prstGeom>
                    <a:noFill/>
                    <a:ln>
                      <a:solidFill>
                        <a:schemeClr val="tx1"/>
                      </a:solidFill>
                    </a:ln>
                  </pic:spPr>
                </pic:pic>
              </a:graphicData>
            </a:graphic>
          </wp:inline>
        </w:drawing>
      </w:r>
    </w:p>
    <w:p>
      <w:pPr>
        <w:widowControl/>
        <w:spacing w:line="360" w:lineRule="auto"/>
        <w:jc w:val="left"/>
        <w:rPr>
          <w:rFonts w:ascii="宋体" w:hAnsi="宋体" w:eastAsia="宋体" w:cs="宋体"/>
        </w:rPr>
      </w:pPr>
      <w:r>
        <w:rPr>
          <w:rFonts w:hint="eastAsia" w:ascii="宋体" w:hAnsi="宋体" w:eastAsia="宋体" w:cs="宋体"/>
          <w:b/>
          <w:bCs/>
          <w:sz w:val="24"/>
          <w:szCs w:val="24"/>
        </w:rPr>
        <w:t>基础资源数据</w:t>
      </w:r>
    </w:p>
    <w:p>
      <w:pPr>
        <w:widowControl/>
        <w:spacing w:line="360" w:lineRule="auto"/>
        <w:jc w:val="left"/>
        <w:rPr>
          <w:rFonts w:ascii="宋体" w:hAnsi="宋体" w:eastAsia="宋体" w:cs="宋体"/>
        </w:rPr>
      </w:pPr>
      <w:r>
        <w:rPr>
          <w:rFonts w:hint="eastAsia" w:ascii="宋体" w:hAnsi="宋体" w:eastAsia="宋体" w:cs="宋体"/>
        </w:rPr>
        <w:drawing>
          <wp:inline distT="0" distB="0" distL="114300" distR="114300">
            <wp:extent cx="5562600" cy="1476375"/>
            <wp:effectExtent l="19050" t="19050" r="0" b="952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31" cstate="print"/>
                    <a:stretch>
                      <a:fillRect/>
                    </a:stretch>
                  </pic:blipFill>
                  <pic:spPr>
                    <a:xfrm>
                      <a:off x="0" y="0"/>
                      <a:ext cx="5562600" cy="1476375"/>
                    </a:xfrm>
                    <a:prstGeom prst="rect">
                      <a:avLst/>
                    </a:prstGeom>
                    <a:noFill/>
                    <a:ln w="12700" cmpd="sng">
                      <a:solidFill>
                        <a:schemeClr val="accent1">
                          <a:shade val="50000"/>
                        </a:schemeClr>
                      </a:solidFill>
                      <a:prstDash val="solid"/>
                    </a:ln>
                  </pic:spPr>
                </pic:pic>
              </a:graphicData>
            </a:graphic>
          </wp:inline>
        </w:drawing>
      </w:r>
      <w:r>
        <w:rPr>
          <w:rFonts w:hint="eastAsia" w:ascii="宋体" w:hAnsi="宋体" w:eastAsia="宋体" w:cs="宋体"/>
          <w:b/>
          <w:bCs/>
          <w:sz w:val="24"/>
          <w:szCs w:val="24"/>
        </w:rPr>
        <w:t>视频界面举例</w:t>
      </w:r>
      <w:r>
        <w:rPr>
          <w:rFonts w:hint="eastAsia" w:ascii="宋体" w:hAnsi="宋体" w:eastAsia="宋体" w:cs="宋体"/>
        </w:rPr>
        <w:drawing>
          <wp:inline distT="0" distB="0" distL="114300" distR="114300">
            <wp:extent cx="5562600" cy="1684655"/>
            <wp:effectExtent l="9525" t="9525" r="15875" b="2032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32" cstate="print"/>
                    <a:stretch>
                      <a:fillRect/>
                    </a:stretch>
                  </pic:blipFill>
                  <pic:spPr>
                    <a:xfrm>
                      <a:off x="0" y="0"/>
                      <a:ext cx="5562600" cy="1684655"/>
                    </a:xfrm>
                    <a:prstGeom prst="rect">
                      <a:avLst/>
                    </a:prstGeom>
                    <a:noFill/>
                    <a:ln>
                      <a:solidFill>
                        <a:schemeClr val="tx1"/>
                      </a:solidFill>
                    </a:ln>
                  </pic:spPr>
                </pic:pic>
              </a:graphicData>
            </a:graphic>
          </wp:inline>
        </w:drawing>
      </w:r>
    </w:p>
    <w:p>
      <w:pPr>
        <w:widowControl/>
        <w:spacing w:line="360" w:lineRule="auto"/>
        <w:jc w:val="left"/>
        <w:rPr>
          <w:rFonts w:ascii="宋体" w:hAnsi="宋体" w:eastAsia="宋体" w:cs="宋体"/>
          <w:b/>
          <w:bCs/>
          <w:sz w:val="24"/>
          <w:szCs w:val="24"/>
        </w:rPr>
      </w:pPr>
      <w:r>
        <w:rPr>
          <w:rFonts w:hint="eastAsia" w:ascii="宋体" w:hAnsi="宋体" w:eastAsia="宋体" w:cs="宋体"/>
          <w:b/>
          <w:bCs/>
          <w:sz w:val="24"/>
          <w:szCs w:val="24"/>
        </w:rPr>
        <w:t>题库</w:t>
      </w:r>
    </w:p>
    <w:p>
      <w:pPr>
        <w:widowControl/>
        <w:spacing w:line="360" w:lineRule="auto"/>
        <w:jc w:val="left"/>
        <w:rPr>
          <w:rFonts w:ascii="宋体" w:hAnsi="宋体" w:eastAsia="宋体" w:cs="宋体"/>
          <w:b/>
          <w:bCs/>
          <w:sz w:val="24"/>
          <w:szCs w:val="24"/>
        </w:rPr>
      </w:pPr>
      <w:r>
        <w:rPr>
          <w:rFonts w:hint="eastAsia" w:ascii="宋体" w:hAnsi="宋体" w:eastAsia="宋体" w:cs="宋体"/>
        </w:rPr>
        <w:drawing>
          <wp:inline distT="0" distB="0" distL="114300" distR="114300">
            <wp:extent cx="5365750" cy="1871980"/>
            <wp:effectExtent l="19050" t="19050" r="635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33" cstate="print"/>
                    <a:stretch>
                      <a:fillRect/>
                    </a:stretch>
                  </pic:blipFill>
                  <pic:spPr>
                    <a:xfrm>
                      <a:off x="0" y="0"/>
                      <a:ext cx="5406862" cy="1886323"/>
                    </a:xfrm>
                    <a:prstGeom prst="rect">
                      <a:avLst/>
                    </a:prstGeom>
                    <a:noFill/>
                    <a:ln w="12700" cmpd="sng">
                      <a:solidFill>
                        <a:sysClr val="windowText" lastClr="000000"/>
                      </a:solidFill>
                      <a:prstDash val="solid"/>
                    </a:ln>
                  </pic:spPr>
                </pic:pic>
              </a:graphicData>
            </a:graphic>
          </wp:inline>
        </w:drawing>
      </w:r>
      <w:r>
        <w:rPr>
          <w:rFonts w:hint="eastAsia" w:ascii="宋体" w:hAnsi="宋体" w:eastAsia="宋体" w:cs="宋体"/>
          <w:b/>
          <w:bCs/>
          <w:sz w:val="24"/>
          <w:szCs w:val="24"/>
        </w:rPr>
        <w:t xml:space="preserve"> </w:t>
      </w:r>
    </w:p>
    <w:p>
      <w:pPr>
        <w:autoSpaceDE w:val="0"/>
        <w:autoSpaceDN w:val="0"/>
        <w:adjustRightInd w:val="0"/>
        <w:spacing w:line="360" w:lineRule="auto"/>
        <w:jc w:val="left"/>
        <w:rPr>
          <w:rFonts w:ascii="宋体" w:hAnsi="宋体" w:eastAsia="宋体" w:cs="宋体"/>
        </w:rPr>
      </w:pPr>
      <w:r>
        <w:rPr>
          <w:rFonts w:hint="eastAsia" w:ascii="宋体" w:hAnsi="宋体" w:eastAsia="宋体" w:cs="宋体"/>
          <w:b/>
          <w:bCs/>
          <w:sz w:val="24"/>
          <w:szCs w:val="24"/>
        </w:rPr>
        <w:t>（2）线上教学点击量 （打开次数）</w:t>
      </w:r>
      <w:r>
        <w:rPr>
          <w:rFonts w:hint="eastAsia" w:ascii="宋体" w:hAnsi="宋体" w:eastAsia="宋体" w:cs="宋体"/>
        </w:rPr>
        <w:drawing>
          <wp:inline distT="0" distB="0" distL="114300" distR="114300">
            <wp:extent cx="5422900" cy="1600200"/>
            <wp:effectExtent l="19050" t="1905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4" cstate="print"/>
                    <a:stretch>
                      <a:fillRect/>
                    </a:stretch>
                  </pic:blipFill>
                  <pic:spPr>
                    <a:xfrm>
                      <a:off x="0" y="0"/>
                      <a:ext cx="5422900" cy="1600200"/>
                    </a:xfrm>
                    <a:prstGeom prst="rect">
                      <a:avLst/>
                    </a:prstGeom>
                    <a:noFill/>
                    <a:ln>
                      <a:solidFill>
                        <a:schemeClr val="tx1"/>
                      </a:solidFill>
                    </a:ln>
                  </pic:spPr>
                </pic:pic>
              </a:graphicData>
            </a:graphic>
          </wp:inline>
        </w:drawing>
      </w:r>
    </w:p>
    <w:p>
      <w:pPr>
        <w:autoSpaceDE w:val="0"/>
        <w:autoSpaceDN w:val="0"/>
        <w:adjustRightInd w:val="0"/>
        <w:spacing w:line="360" w:lineRule="auto"/>
        <w:jc w:val="left"/>
        <w:rPr>
          <w:rFonts w:ascii="宋体" w:hAnsi="宋体" w:eastAsia="宋体" w:cs="宋体"/>
        </w:rPr>
      </w:pPr>
      <w:r>
        <w:rPr>
          <w:rFonts w:hint="eastAsia" w:ascii="宋体" w:hAnsi="宋体" w:eastAsia="宋体" w:cs="宋体"/>
        </w:rPr>
        <w:drawing>
          <wp:inline distT="0" distB="0" distL="114300" distR="114300">
            <wp:extent cx="5410200" cy="2098675"/>
            <wp:effectExtent l="12700" t="12700" r="12700" b="222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5" cstate="print"/>
                    <a:stretch>
                      <a:fillRect/>
                    </a:stretch>
                  </pic:blipFill>
                  <pic:spPr>
                    <a:xfrm>
                      <a:off x="0" y="0"/>
                      <a:ext cx="5410200" cy="2099029"/>
                    </a:xfrm>
                    <a:prstGeom prst="rect">
                      <a:avLst/>
                    </a:prstGeom>
                    <a:noFill/>
                    <a:ln w="12700" cmpd="sng">
                      <a:solidFill>
                        <a:schemeClr val="accent1">
                          <a:shade val="50000"/>
                        </a:schemeClr>
                      </a:solidFill>
                      <a:prstDash val="solid"/>
                    </a:ln>
                  </pic:spPr>
                </pic:pic>
              </a:graphicData>
            </a:graphic>
          </wp:inline>
        </w:drawing>
      </w:r>
      <w:r>
        <w:rPr>
          <w:rFonts w:hint="eastAsia" w:ascii="宋体" w:hAnsi="宋体" w:eastAsia="宋体" w:cs="宋体"/>
        </w:rPr>
        <w:t xml:space="preserve">   </w:t>
      </w:r>
    </w:p>
    <w:p>
      <w:pPr>
        <w:autoSpaceDE w:val="0"/>
        <w:autoSpaceDN w:val="0"/>
        <w:adjustRightInd w:val="0"/>
        <w:spacing w:line="360" w:lineRule="auto"/>
        <w:jc w:val="left"/>
        <w:rPr>
          <w:rFonts w:ascii="宋体" w:hAnsi="宋体" w:eastAsia="宋体" w:cs="宋体"/>
        </w:rPr>
      </w:pPr>
      <w:r>
        <w:rPr>
          <w:rFonts w:hint="eastAsia" w:ascii="宋体" w:hAnsi="宋体" w:eastAsia="宋体" w:cs="宋体"/>
        </w:rPr>
        <w:drawing>
          <wp:inline distT="0" distB="0" distL="114300" distR="114300">
            <wp:extent cx="5426075" cy="1887855"/>
            <wp:effectExtent l="19050" t="1905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6" cstate="print"/>
                    <a:stretch>
                      <a:fillRect/>
                    </a:stretch>
                  </pic:blipFill>
                  <pic:spPr>
                    <a:xfrm>
                      <a:off x="0" y="0"/>
                      <a:ext cx="5426075" cy="1887855"/>
                    </a:xfrm>
                    <a:prstGeom prst="rect">
                      <a:avLst/>
                    </a:prstGeom>
                    <a:noFill/>
                    <a:ln>
                      <a:solidFill>
                        <a:schemeClr val="tx1"/>
                      </a:solidFill>
                    </a:ln>
                  </pic:spPr>
                </pic:pic>
              </a:graphicData>
            </a:graphic>
          </wp:inline>
        </w:drawing>
      </w:r>
    </w:p>
    <w:p>
      <w:pPr>
        <w:autoSpaceDE w:val="0"/>
        <w:autoSpaceDN w:val="0"/>
        <w:adjustRightInd w:val="0"/>
        <w:spacing w:line="360" w:lineRule="auto"/>
        <w:ind w:firstLine="420" w:firstLineChars="200"/>
        <w:jc w:val="left"/>
        <w:rPr>
          <w:rFonts w:ascii="宋体" w:hAnsi="宋体" w:eastAsia="宋体" w:cs="宋体"/>
        </w:rPr>
      </w:pPr>
      <w:r>
        <w:rPr>
          <w:rFonts w:hint="eastAsia" w:ascii="宋体" w:hAnsi="宋体" w:eastAsia="宋体" w:cs="宋体"/>
        </w:rPr>
        <w:t xml:space="preserve">  </w:t>
      </w:r>
      <w:r>
        <w:rPr>
          <w:rFonts w:hint="eastAsia" w:ascii="宋体" w:hAnsi="宋体" w:eastAsia="宋体" w:cs="宋体"/>
        </w:rPr>
        <w:drawing>
          <wp:inline distT="0" distB="0" distL="114300" distR="114300">
            <wp:extent cx="5505450" cy="2234565"/>
            <wp:effectExtent l="12700" t="12700" r="19050" b="1333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37" cstate="print"/>
                    <a:stretch>
                      <a:fillRect/>
                    </a:stretch>
                  </pic:blipFill>
                  <pic:spPr>
                    <a:xfrm>
                      <a:off x="0" y="0"/>
                      <a:ext cx="5505450" cy="2234565"/>
                    </a:xfrm>
                    <a:prstGeom prst="rect">
                      <a:avLst/>
                    </a:prstGeom>
                    <a:noFill/>
                    <a:ln w="12700" cmpd="sng">
                      <a:solidFill>
                        <a:schemeClr val="tx1"/>
                      </a:solidFill>
                      <a:prstDash val="solid"/>
                    </a:ln>
                  </pic:spPr>
                </pic:pic>
              </a:graphicData>
            </a:graphic>
          </wp:inline>
        </w:drawing>
      </w:r>
    </w:p>
    <w:p>
      <w:pPr>
        <w:numPr>
          <w:ilvl w:val="0"/>
          <w:numId w:val="2"/>
        </w:numPr>
        <w:autoSpaceDE w:val="0"/>
        <w:autoSpaceDN w:val="0"/>
        <w:adjustRightInd w:val="0"/>
        <w:spacing w:line="360" w:lineRule="auto"/>
        <w:jc w:val="left"/>
        <w:rPr>
          <w:rFonts w:ascii="宋体" w:hAnsi="宋体" w:eastAsia="宋体" w:cs="宋体"/>
          <w:b/>
          <w:bCs/>
          <w:sz w:val="24"/>
          <w:szCs w:val="24"/>
        </w:rPr>
      </w:pPr>
      <w:r>
        <w:rPr>
          <w:rFonts w:hint="eastAsia" w:ascii="宋体" w:hAnsi="宋体" w:eastAsia="宋体" w:cs="宋体"/>
          <w:b/>
          <w:bCs/>
          <w:sz w:val="24"/>
          <w:szCs w:val="24"/>
        </w:rPr>
        <w:t>线上教学学习效果</w:t>
      </w:r>
    </w:p>
    <w:p>
      <w:pPr>
        <w:autoSpaceDE w:val="0"/>
        <w:autoSpaceDN w:val="0"/>
        <w:adjustRightInd w:val="0"/>
        <w:spacing w:line="360" w:lineRule="auto"/>
        <w:jc w:val="left"/>
        <w:rPr>
          <w:rFonts w:ascii="宋体" w:hAnsi="宋体" w:eastAsia="宋体" w:cs="宋体"/>
        </w:rPr>
      </w:pPr>
      <w:r>
        <w:rPr>
          <w:rFonts w:hint="eastAsia" w:ascii="宋体" w:hAnsi="宋体" w:eastAsia="宋体" w:cs="宋体"/>
        </w:rPr>
        <w:drawing>
          <wp:inline distT="0" distB="0" distL="114300" distR="114300">
            <wp:extent cx="5572125" cy="2243455"/>
            <wp:effectExtent l="9525" t="9525" r="19050" b="2032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38" cstate="print"/>
                    <a:stretch>
                      <a:fillRect/>
                    </a:stretch>
                  </pic:blipFill>
                  <pic:spPr>
                    <a:xfrm>
                      <a:off x="0" y="0"/>
                      <a:ext cx="5572125" cy="2243455"/>
                    </a:xfrm>
                    <a:prstGeom prst="rect">
                      <a:avLst/>
                    </a:prstGeom>
                    <a:noFill/>
                    <a:ln>
                      <a:solidFill>
                        <a:schemeClr val="tx1"/>
                      </a:solidFill>
                    </a:ln>
                  </pic:spPr>
                </pic:pic>
              </a:graphicData>
            </a:graphic>
          </wp:inline>
        </w:drawing>
      </w:r>
    </w:p>
    <w:p>
      <w:pPr>
        <w:autoSpaceDE w:val="0"/>
        <w:autoSpaceDN w:val="0"/>
        <w:adjustRightInd w:val="0"/>
        <w:spacing w:line="360" w:lineRule="auto"/>
        <w:jc w:val="left"/>
        <w:rPr>
          <w:rFonts w:ascii="宋体" w:hAnsi="宋体" w:eastAsia="宋体" w:cs="宋体"/>
          <w:kern w:val="0"/>
          <w:sz w:val="24"/>
          <w:szCs w:val="24"/>
        </w:rPr>
      </w:pPr>
      <w:r>
        <w:rPr>
          <w:rFonts w:hint="eastAsia" w:ascii="宋体" w:hAnsi="宋体" w:eastAsia="宋体" w:cs="宋体"/>
        </w:rPr>
        <w:drawing>
          <wp:inline distT="0" distB="0" distL="114300" distR="114300">
            <wp:extent cx="5572125" cy="2076450"/>
            <wp:effectExtent l="9525" t="9525" r="19050" b="952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39" cstate="print"/>
                    <a:stretch>
                      <a:fillRect/>
                    </a:stretch>
                  </pic:blipFill>
                  <pic:spPr>
                    <a:xfrm>
                      <a:off x="0" y="0"/>
                      <a:ext cx="5572125" cy="2076450"/>
                    </a:xfrm>
                    <a:prstGeom prst="rect">
                      <a:avLst/>
                    </a:prstGeom>
                    <a:noFill/>
                    <a:ln>
                      <a:solidFill>
                        <a:schemeClr val="tx1"/>
                      </a:solidFill>
                    </a:ln>
                  </pic:spPr>
                </pic:pic>
              </a:graphicData>
            </a:graphic>
          </wp:inline>
        </w:drawing>
      </w:r>
    </w:p>
    <w:p>
      <w:pPr>
        <w:autoSpaceDE w:val="0"/>
        <w:autoSpaceDN w:val="0"/>
        <w:adjustRightInd w:val="0"/>
        <w:spacing w:line="360" w:lineRule="auto"/>
        <w:ind w:firstLine="482" w:firstLineChars="200"/>
        <w:jc w:val="left"/>
        <w:outlineLvl w:val="0"/>
        <w:rPr>
          <w:rFonts w:ascii="宋体" w:hAnsi="宋体" w:eastAsia="宋体" w:cs="宋体"/>
          <w:b/>
          <w:bCs/>
          <w:kern w:val="0"/>
          <w:sz w:val="24"/>
          <w:szCs w:val="24"/>
        </w:rPr>
      </w:pPr>
      <w:bookmarkStart w:id="125" w:name="_Toc29706"/>
      <w:bookmarkStart w:id="126" w:name="_Toc22733"/>
      <w:r>
        <w:rPr>
          <w:rFonts w:hint="eastAsia" w:ascii="宋体" w:hAnsi="宋体" w:eastAsia="宋体" w:cs="宋体"/>
          <w:b/>
          <w:bCs/>
          <w:kern w:val="0"/>
          <w:sz w:val="24"/>
          <w:szCs w:val="24"/>
        </w:rPr>
        <w:t>3 结论与建议</w:t>
      </w:r>
      <w:bookmarkEnd w:id="120"/>
      <w:bookmarkEnd w:id="121"/>
      <w:bookmarkEnd w:id="122"/>
      <w:bookmarkEnd w:id="125"/>
      <w:bookmarkEnd w:id="126"/>
    </w:p>
    <w:p>
      <w:pPr>
        <w:widowControl/>
        <w:shd w:val="clear" w:color="auto" w:fill="FFFFFF"/>
        <w:spacing w:line="360" w:lineRule="auto"/>
        <w:ind w:firstLine="480" w:firstLineChars="200"/>
        <w:jc w:val="left"/>
        <w:rPr>
          <w:rFonts w:ascii="宋体" w:hAnsi="宋体" w:eastAsia="宋体" w:cs="宋体"/>
          <w:kern w:val="0"/>
          <w:sz w:val="24"/>
          <w:szCs w:val="24"/>
        </w:rPr>
      </w:pPr>
      <w:r>
        <w:rPr>
          <w:rFonts w:hint="eastAsia" w:ascii="宋体" w:hAnsi="宋体" w:eastAsia="宋体" w:cs="宋体"/>
          <w:color w:val="333333"/>
          <w:kern w:val="0"/>
          <w:sz w:val="24"/>
          <w:szCs w:val="24"/>
        </w:rPr>
        <w:t>（1）阮冈纳赞认为 “图书馆是一个生长的有机体”，</w:t>
      </w:r>
      <w:r>
        <w:rPr>
          <w:rFonts w:hint="eastAsia" w:ascii="宋体" w:hAnsi="宋体" w:eastAsia="宋体" w:cs="宋体"/>
          <w:kern w:val="0"/>
          <w:sz w:val="24"/>
          <w:szCs w:val="24"/>
        </w:rPr>
        <w:t>高校图书馆如何适应社会变化和技术的进步，对现有的部门设置、人员配备、工作流程和主要职能进行重新设定，对组织机构和业务布局进行获组，提升图书馆专业能力和服务品质。提高图书馆的效能，扩大图书馆的影响力，让图书馆服务渗透到学校发展的每一步，形成与教学科研人才培养等深度融合，重新架构图书馆在学校的支撑功能，对图书馆未来价值体现和可持续发展尤为重要。</w:t>
      </w:r>
    </w:p>
    <w:p>
      <w:pPr>
        <w:autoSpaceDE w:val="0"/>
        <w:autoSpaceDN w:val="0"/>
        <w:adjustRightInd w:val="0"/>
        <w:spacing w:line="360" w:lineRule="auto"/>
        <w:ind w:firstLine="480" w:firstLineChars="200"/>
        <w:jc w:val="left"/>
        <w:rPr>
          <w:rFonts w:ascii="宋体" w:hAnsi="宋体" w:eastAsia="宋体" w:cs="宋体"/>
          <w:sz w:val="24"/>
          <w:szCs w:val="24"/>
        </w:rPr>
      </w:pPr>
      <w:r>
        <w:rPr>
          <w:rFonts w:hint="eastAsia" w:ascii="宋体" w:hAnsi="宋体" w:eastAsia="宋体" w:cs="宋体"/>
          <w:kern w:val="0"/>
          <w:sz w:val="24"/>
          <w:szCs w:val="24"/>
        </w:rPr>
        <w:t>（2）</w:t>
      </w:r>
      <w:r>
        <w:rPr>
          <w:rFonts w:hint="eastAsia" w:ascii="宋体" w:hAnsi="宋体" w:eastAsia="宋体" w:cs="宋体"/>
          <w:sz w:val="24"/>
          <w:szCs w:val="24"/>
        </w:rPr>
        <w:t>图书馆业务布局重组是社会发展的需求，重组的实施涉及信息技术、计算机技术和管理科学等个方面。图书馆业务布局重组是一项复杂的系统工程，重组包含人的重组、技术重组、组织重组和文化重组等。</w:t>
      </w:r>
    </w:p>
    <w:p>
      <w:pPr>
        <w:autoSpaceDE w:val="0"/>
        <w:autoSpaceDN w:val="0"/>
        <w:adjustRightInd w:val="0"/>
        <w:spacing w:line="360" w:lineRule="auto"/>
        <w:ind w:firstLine="480" w:firstLineChars="200"/>
        <w:jc w:val="left"/>
        <w:rPr>
          <w:rFonts w:ascii="宋体" w:hAnsi="宋体" w:eastAsia="宋体" w:cs="宋体"/>
          <w:sz w:val="24"/>
          <w:szCs w:val="24"/>
        </w:rPr>
      </w:pPr>
      <w:r>
        <w:rPr>
          <w:rFonts w:hint="eastAsia" w:ascii="宋体" w:hAnsi="宋体" w:eastAsia="宋体" w:cs="宋体"/>
          <w:kern w:val="0"/>
          <w:sz w:val="24"/>
          <w:szCs w:val="24"/>
        </w:rPr>
        <w:t>（3）图书馆是服务机构。每个学校状况不同，部门设置各有千秋。在以用户需求为中心前提下，高校图书馆组织结构变革，也应考虑图书馆价值优化和实现问题，创造图书馆与用户共赢的格局。</w:t>
      </w:r>
    </w:p>
    <w:p>
      <w:pPr>
        <w:autoSpaceDE w:val="0"/>
        <w:autoSpaceDN w:val="0"/>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kern w:val="0"/>
          <w:sz w:val="24"/>
          <w:szCs w:val="24"/>
        </w:rPr>
        <w:t>（4）通过对图书馆业务调研、分析和梳理，</w:t>
      </w:r>
      <w:r>
        <w:rPr>
          <w:rFonts w:hint="eastAsia" w:ascii="宋体" w:hAnsi="宋体" w:eastAsia="宋体" w:cs="宋体"/>
          <w:sz w:val="24"/>
          <w:szCs w:val="24"/>
        </w:rPr>
        <w:t>将高校图书馆业务活动分为三部分，直接接触读者业务活动为前台，中台为图书馆数据平台，文献信息资源建设工作为后台，</w:t>
      </w:r>
      <w:r>
        <w:rPr>
          <w:rFonts w:hint="eastAsia" w:ascii="宋体" w:hAnsi="宋体" w:eastAsia="宋体" w:cs="宋体"/>
          <w:kern w:val="0"/>
          <w:sz w:val="24"/>
          <w:szCs w:val="24"/>
        </w:rPr>
        <w:t>提出了高校图书馆“三台”式组织结构管理模式。</w:t>
      </w:r>
      <w:r>
        <w:rPr>
          <w:rFonts w:hint="eastAsia" w:ascii="宋体" w:hAnsi="宋体" w:eastAsia="宋体" w:cs="宋体"/>
          <w:sz w:val="24"/>
          <w:szCs w:val="24"/>
        </w:rPr>
        <w:t>该模式中图书馆前中后台各自独立，又高度相互依赖，相辅相成，缺一不可，形成共生共进的生态系统。</w:t>
      </w:r>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sz w:val="24"/>
          <w:szCs w:val="24"/>
        </w:rPr>
        <w:t>（5）</w:t>
      </w:r>
      <w:r>
        <w:rPr>
          <w:rFonts w:hint="eastAsia" w:ascii="宋体" w:hAnsi="宋体" w:eastAsia="宋体" w:cs="宋体"/>
          <w:kern w:val="0"/>
          <w:sz w:val="24"/>
          <w:szCs w:val="24"/>
        </w:rPr>
        <w:t>从新型服务能力体系构建角度出发，本研究认为图书馆服务的价值取向以用户为中心同时，也应关注图书馆人员的角色定位及价值体现。</w:t>
      </w:r>
    </w:p>
    <w:p>
      <w:pPr>
        <w:autoSpaceDE w:val="0"/>
        <w:autoSpaceDN w:val="0"/>
        <w:adjustRightInd w:val="0"/>
        <w:spacing w:line="360" w:lineRule="auto"/>
        <w:ind w:firstLine="482" w:firstLineChars="200"/>
        <w:jc w:val="left"/>
        <w:outlineLvl w:val="0"/>
        <w:rPr>
          <w:rFonts w:ascii="宋体" w:hAnsi="宋体" w:eastAsia="宋体" w:cs="宋体"/>
          <w:b/>
          <w:bCs/>
          <w:kern w:val="0"/>
          <w:sz w:val="24"/>
          <w:szCs w:val="24"/>
        </w:rPr>
      </w:pPr>
      <w:bookmarkStart w:id="127" w:name="_Toc20797"/>
      <w:bookmarkStart w:id="128" w:name="_Toc25221"/>
      <w:bookmarkStart w:id="129" w:name="_Toc22387"/>
      <w:bookmarkStart w:id="130" w:name="_Toc26755"/>
      <w:bookmarkStart w:id="131" w:name="_Toc29901"/>
      <w:r>
        <w:rPr>
          <w:rFonts w:hint="eastAsia" w:ascii="宋体" w:hAnsi="宋体" w:eastAsia="宋体" w:cs="宋体"/>
          <w:b/>
          <w:bCs/>
          <w:kern w:val="0"/>
          <w:sz w:val="24"/>
          <w:szCs w:val="24"/>
        </w:rPr>
        <w:t>4 项目成果</w:t>
      </w:r>
      <w:bookmarkEnd w:id="127"/>
      <w:bookmarkEnd w:id="128"/>
      <w:bookmarkEnd w:id="129"/>
      <w:bookmarkEnd w:id="130"/>
      <w:bookmarkEnd w:id="131"/>
    </w:p>
    <w:p>
      <w:pPr>
        <w:widowControl/>
        <w:numPr>
          <w:ilvl w:val="0"/>
          <w:numId w:val="3"/>
        </w:numPr>
        <w:spacing w:line="360" w:lineRule="auto"/>
        <w:ind w:firstLine="482" w:firstLineChars="200"/>
        <w:jc w:val="left"/>
        <w:rPr>
          <w:rFonts w:ascii="宋体" w:hAnsi="宋体" w:eastAsia="宋体" w:cs="宋体"/>
          <w:b/>
          <w:bCs/>
          <w:kern w:val="0"/>
          <w:sz w:val="24"/>
          <w:szCs w:val="24"/>
        </w:rPr>
      </w:pPr>
      <w:r>
        <w:rPr>
          <w:rFonts w:hint="eastAsia" w:ascii="宋体" w:hAnsi="宋体" w:eastAsia="宋体" w:cs="宋体"/>
          <w:b/>
          <w:bCs/>
          <w:kern w:val="0"/>
          <w:sz w:val="24"/>
          <w:szCs w:val="24"/>
        </w:rPr>
        <w:t>论文</w:t>
      </w:r>
    </w:p>
    <w:p>
      <w:pPr>
        <w:widowControl/>
        <w:spacing w:line="360" w:lineRule="auto"/>
        <w:ind w:firstLine="480" w:firstLineChars="200"/>
        <w:jc w:val="left"/>
        <w:rPr>
          <w:rFonts w:ascii="宋体" w:hAnsi="宋体" w:eastAsia="宋体" w:cs="宋体"/>
          <w:b/>
          <w:bCs/>
          <w:kern w:val="0"/>
          <w:sz w:val="24"/>
          <w:szCs w:val="24"/>
        </w:rPr>
      </w:pPr>
      <w:r>
        <w:rPr>
          <w:rFonts w:hint="eastAsia" w:ascii="宋体" w:hAnsi="宋体" w:eastAsia="宋体" w:cs="宋体"/>
          <w:kern w:val="0"/>
          <w:sz w:val="24"/>
          <w:szCs w:val="24"/>
        </w:rPr>
        <w:t>课题组成员发表论文一篇</w:t>
      </w:r>
    </w:p>
    <w:p>
      <w:pPr>
        <w:widowControl/>
        <w:spacing w:line="360" w:lineRule="auto"/>
        <w:ind w:firstLine="420" w:firstLineChars="200"/>
        <w:jc w:val="left"/>
        <w:rPr>
          <w:rFonts w:ascii="宋体" w:hAnsi="宋体" w:eastAsia="宋体" w:cs="宋体"/>
          <w:kern w:val="0"/>
          <w:sz w:val="24"/>
          <w:szCs w:val="24"/>
        </w:rPr>
      </w:pPr>
      <w:r>
        <w:drawing>
          <wp:inline distT="0" distB="0" distL="114300" distR="114300">
            <wp:extent cx="4288155" cy="1877060"/>
            <wp:effectExtent l="0" t="0" r="4445" b="254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40"/>
                    <a:stretch>
                      <a:fillRect/>
                    </a:stretch>
                  </pic:blipFill>
                  <pic:spPr>
                    <a:xfrm>
                      <a:off x="0" y="0"/>
                      <a:ext cx="4288155" cy="1877060"/>
                    </a:xfrm>
                    <a:prstGeom prst="rect">
                      <a:avLst/>
                    </a:prstGeom>
                    <a:noFill/>
                    <a:ln>
                      <a:noFill/>
                    </a:ln>
                  </pic:spPr>
                </pic:pic>
              </a:graphicData>
            </a:graphic>
          </wp:inline>
        </w:drawing>
      </w:r>
    </w:p>
    <w:p>
      <w:pPr>
        <w:widowControl/>
        <w:numPr>
          <w:ilvl w:val="0"/>
          <w:numId w:val="3"/>
        </w:numPr>
        <w:spacing w:line="360" w:lineRule="auto"/>
        <w:ind w:firstLine="482" w:firstLineChars="200"/>
        <w:jc w:val="left"/>
        <w:rPr>
          <w:rFonts w:ascii="宋体" w:hAnsi="宋体" w:eastAsia="宋体" w:cs="宋体"/>
          <w:b/>
          <w:bCs/>
          <w:kern w:val="0"/>
          <w:sz w:val="24"/>
          <w:szCs w:val="24"/>
        </w:rPr>
      </w:pPr>
      <w:r>
        <w:rPr>
          <w:rFonts w:hint="eastAsia" w:ascii="宋体" w:hAnsi="宋体" w:eastAsia="宋体" w:cs="宋体"/>
          <w:b/>
          <w:bCs/>
          <w:kern w:val="0"/>
          <w:sz w:val="24"/>
          <w:szCs w:val="24"/>
        </w:rPr>
        <w:t>实践研究</w:t>
      </w:r>
    </w:p>
    <w:p>
      <w:pPr>
        <w:widowControl/>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吉林农业大学图书馆《文献检索》课管理和教学方式重组改革。</w:t>
      </w:r>
    </w:p>
    <w:p>
      <w:pPr>
        <w:widowControl/>
        <w:spacing w:line="360" w:lineRule="auto"/>
        <w:ind w:firstLine="480" w:firstLineChars="200"/>
        <w:jc w:val="left"/>
        <w:outlineLvl w:val="2"/>
        <w:rPr>
          <w:rFonts w:ascii="宋体" w:hAnsi="宋体" w:eastAsia="宋体" w:cs="宋体"/>
          <w:b w:val="0"/>
          <w:bCs w:val="0"/>
          <w:kern w:val="0"/>
          <w:sz w:val="24"/>
          <w:szCs w:val="24"/>
        </w:rPr>
      </w:pPr>
      <w:r>
        <w:rPr>
          <w:rFonts w:hint="eastAsia" w:ascii="宋体" w:hAnsi="宋体" w:eastAsia="宋体" w:cs="宋体"/>
          <w:b w:val="0"/>
          <w:bCs w:val="0"/>
          <w:kern w:val="0"/>
          <w:sz w:val="24"/>
          <w:szCs w:val="24"/>
          <w:lang w:val="en-US" w:eastAsia="zh-CN"/>
        </w:rPr>
        <w:t>（见</w:t>
      </w:r>
      <w:r>
        <w:rPr>
          <w:rFonts w:hint="eastAsia" w:ascii="宋体" w:hAnsi="宋体" w:eastAsia="宋体" w:cs="宋体"/>
          <w:b w:val="0"/>
          <w:bCs w:val="0"/>
          <w:kern w:val="0"/>
          <w:sz w:val="24"/>
          <w:szCs w:val="24"/>
        </w:rPr>
        <w:t>2.3.6实践效果</w:t>
      </w:r>
      <w:r>
        <w:rPr>
          <w:rFonts w:hint="eastAsia" w:ascii="宋体" w:hAnsi="宋体" w:eastAsia="宋体" w:cs="宋体"/>
          <w:b w:val="0"/>
          <w:bCs w:val="0"/>
          <w:kern w:val="0"/>
          <w:sz w:val="24"/>
          <w:szCs w:val="24"/>
          <w:lang w:val="en-US" w:eastAsia="zh-CN"/>
        </w:rPr>
        <w:t>）</w:t>
      </w:r>
    </w:p>
    <w:p>
      <w:pPr>
        <w:autoSpaceDE w:val="0"/>
        <w:autoSpaceDN w:val="0"/>
        <w:adjustRightInd w:val="0"/>
        <w:spacing w:line="360" w:lineRule="auto"/>
        <w:jc w:val="left"/>
        <w:outlineLvl w:val="0"/>
        <w:rPr>
          <w:rFonts w:ascii="宋体" w:hAnsi="宋体" w:eastAsia="宋体" w:cs="宋体"/>
          <w:b/>
          <w:bCs/>
          <w:kern w:val="0"/>
          <w:sz w:val="24"/>
          <w:szCs w:val="24"/>
        </w:rPr>
      </w:pPr>
      <w:bookmarkStart w:id="132" w:name="_Toc15077"/>
      <w:bookmarkStart w:id="133" w:name="_Toc8220"/>
      <w:bookmarkStart w:id="134" w:name="_Toc29844"/>
      <w:bookmarkStart w:id="135" w:name="_Toc9294"/>
    </w:p>
    <w:p>
      <w:pPr>
        <w:autoSpaceDE w:val="0"/>
        <w:autoSpaceDN w:val="0"/>
        <w:adjustRightInd w:val="0"/>
        <w:spacing w:line="360" w:lineRule="auto"/>
        <w:jc w:val="left"/>
        <w:outlineLvl w:val="0"/>
        <w:rPr>
          <w:rFonts w:ascii="宋体" w:hAnsi="宋体" w:eastAsia="宋体" w:cs="宋体"/>
          <w:b/>
          <w:bCs/>
          <w:kern w:val="0"/>
          <w:sz w:val="24"/>
          <w:szCs w:val="24"/>
        </w:rPr>
      </w:pPr>
      <w:bookmarkStart w:id="136" w:name="_Toc24150"/>
      <w:r>
        <w:rPr>
          <w:rFonts w:hint="eastAsia" w:ascii="宋体" w:hAnsi="宋体" w:eastAsia="宋体" w:cs="宋体"/>
          <w:b/>
          <w:bCs/>
          <w:kern w:val="0"/>
          <w:sz w:val="24"/>
          <w:szCs w:val="24"/>
        </w:rPr>
        <w:t>5 参考文献</w:t>
      </w:r>
      <w:bookmarkEnd w:id="132"/>
      <w:bookmarkEnd w:id="133"/>
      <w:bookmarkEnd w:id="134"/>
      <w:bookmarkEnd w:id="135"/>
      <w:bookmarkEnd w:id="136"/>
    </w:p>
    <w:p>
      <w:pPr>
        <w:spacing w:line="360" w:lineRule="auto"/>
        <w:rPr>
          <w:rFonts w:ascii="宋体" w:hAnsi="宋体" w:eastAsia="宋体" w:cs="宋体"/>
          <w:sz w:val="24"/>
          <w:szCs w:val="24"/>
          <w:shd w:val="clear" w:color="auto" w:fill="FFFFFF"/>
        </w:rPr>
      </w:pPr>
      <w:r>
        <w:rPr>
          <w:rFonts w:hint="eastAsia" w:ascii="宋体" w:hAnsi="宋体" w:eastAsia="宋体" w:cs="宋体"/>
          <w:sz w:val="24"/>
          <w:szCs w:val="24"/>
          <w:shd w:val="clear" w:color="auto" w:fill="FFFFFF"/>
        </w:rPr>
        <w:t>[1]李良艳等.现代图书馆管理理论研究[M].北京:中国商务出版社,2019.</w:t>
      </w:r>
    </w:p>
    <w:p>
      <w:pPr>
        <w:spacing w:line="360" w:lineRule="auto"/>
        <w:ind w:left="480" w:hanging="480" w:hangingChars="200"/>
        <w:rPr>
          <w:rFonts w:ascii="宋体" w:hAnsi="宋体" w:eastAsia="宋体" w:cs="宋体"/>
          <w:sz w:val="24"/>
          <w:szCs w:val="24"/>
          <w:shd w:val="clear" w:color="auto" w:fill="FFFFFF"/>
        </w:rPr>
      </w:pPr>
      <w:r>
        <w:rPr>
          <w:rFonts w:hint="eastAsia" w:ascii="宋体" w:hAnsi="宋体" w:eastAsia="宋体" w:cs="宋体"/>
          <w:sz w:val="24"/>
          <w:szCs w:val="24"/>
          <w:shd w:val="clear" w:color="auto" w:fill="FFFFFF"/>
        </w:rPr>
        <w:t>[2]唐淑香.互联网+时代高校图书馆学科服务研究[M].西安:西安交通大学出版社,2018.</w:t>
      </w:r>
    </w:p>
    <w:p>
      <w:pPr>
        <w:widowControl/>
        <w:spacing w:line="360" w:lineRule="auto"/>
        <w:jc w:val="left"/>
        <w:rPr>
          <w:rFonts w:ascii="宋体" w:hAnsi="宋体" w:eastAsia="宋体" w:cs="宋体"/>
          <w:sz w:val="24"/>
          <w:szCs w:val="24"/>
          <w:shd w:val="clear" w:color="auto" w:fill="FFFFFF"/>
        </w:rPr>
      </w:pPr>
      <w:r>
        <w:rPr>
          <w:rFonts w:hint="eastAsia" w:ascii="宋体" w:hAnsi="宋体" w:eastAsia="宋体" w:cs="宋体"/>
          <w:sz w:val="24"/>
          <w:szCs w:val="24"/>
        </w:rPr>
        <w:t>[3]</w:t>
      </w:r>
      <w:r>
        <w:fldChar w:fldCharType="begin"/>
      </w:r>
      <w:r>
        <w:instrText xml:space="preserve"> HYPERLINK "https://book.duxiu.com/search?sw=%E6%B0%B4%E8%97%8F%E7%8E%BA&amp;Field=2&amp;channel=search&amp;ecode=UTF-8" </w:instrText>
      </w:r>
      <w:r>
        <w:fldChar w:fldCharType="separate"/>
      </w:r>
      <w:r>
        <w:rPr>
          <w:rFonts w:hint="eastAsia" w:ascii="宋体" w:hAnsi="宋体" w:eastAsia="宋体" w:cs="宋体"/>
          <w:kern w:val="0"/>
          <w:sz w:val="24"/>
          <w:szCs w:val="24"/>
        </w:rPr>
        <w:t>水藏玺</w:t>
      </w:r>
      <w:r>
        <w:rPr>
          <w:rFonts w:hint="eastAsia" w:ascii="宋体" w:hAnsi="宋体" w:eastAsia="宋体" w:cs="宋体"/>
          <w:kern w:val="0"/>
          <w:sz w:val="24"/>
          <w:szCs w:val="24"/>
        </w:rPr>
        <w:fldChar w:fldCharType="end"/>
      </w:r>
      <w:r>
        <w:rPr>
          <w:rFonts w:hint="eastAsia" w:ascii="宋体" w:hAnsi="宋体" w:eastAsia="宋体" w:cs="宋体"/>
          <w:kern w:val="0"/>
          <w:sz w:val="24"/>
          <w:szCs w:val="24"/>
        </w:rPr>
        <w:t>.互联网时代业务流程再造</w:t>
      </w:r>
      <w:r>
        <w:rPr>
          <w:rFonts w:hint="eastAsia" w:ascii="宋体" w:hAnsi="宋体" w:eastAsia="宋体" w:cs="宋体"/>
          <w:sz w:val="24"/>
          <w:szCs w:val="24"/>
          <w:shd w:val="clear" w:color="auto" w:fill="FFFFFF"/>
        </w:rPr>
        <w:t>[M].</w:t>
      </w:r>
      <w:r>
        <w:rPr>
          <w:rFonts w:hint="eastAsia" w:ascii="宋体" w:hAnsi="宋体" w:eastAsia="宋体" w:cs="宋体"/>
          <w:kern w:val="0"/>
          <w:sz w:val="24"/>
          <w:szCs w:val="24"/>
        </w:rPr>
        <w:t>北京：中国经济出版社 ,2015.</w:t>
      </w:r>
    </w:p>
    <w:p>
      <w:pPr>
        <w:spacing w:line="360" w:lineRule="auto"/>
        <w:ind w:left="480" w:hanging="480" w:hangingChars="200"/>
        <w:rPr>
          <w:rFonts w:ascii="宋体" w:hAnsi="宋体" w:eastAsia="宋体" w:cs="宋体"/>
          <w:sz w:val="24"/>
          <w:szCs w:val="24"/>
        </w:rPr>
      </w:pPr>
      <w:r>
        <w:rPr>
          <w:rFonts w:hint="eastAsia" w:ascii="宋体" w:hAnsi="宋体" w:eastAsia="宋体" w:cs="宋体"/>
          <w:sz w:val="24"/>
          <w:szCs w:val="24"/>
          <w:shd w:val="clear" w:color="auto" w:fill="FFFFFF"/>
        </w:rPr>
        <w:t>[4]</w:t>
      </w:r>
      <w:r>
        <w:fldChar w:fldCharType="begin"/>
      </w:r>
      <w:r>
        <w:instrText xml:space="preserve"> HYPERLINK "https://book.duxiu.com/search?sw=%E5%AE%8B%E5%A7%AC%E8%8A%B3&amp;Field=2&amp;channel=search&amp;ecode=UTF-8" </w:instrText>
      </w:r>
      <w:r>
        <w:fldChar w:fldCharType="separate"/>
      </w:r>
      <w:r>
        <w:rPr>
          <w:rFonts w:hint="eastAsia" w:ascii="宋体" w:hAnsi="宋体" w:eastAsia="宋体" w:cs="宋体"/>
          <w:kern w:val="0"/>
          <w:sz w:val="24"/>
          <w:szCs w:val="24"/>
        </w:rPr>
        <w:t>宋姬芳</w:t>
      </w:r>
      <w:r>
        <w:rPr>
          <w:rFonts w:hint="eastAsia" w:ascii="宋体" w:hAnsi="宋体" w:eastAsia="宋体" w:cs="宋体"/>
          <w:kern w:val="0"/>
          <w:sz w:val="24"/>
          <w:szCs w:val="24"/>
        </w:rPr>
        <w:fldChar w:fldCharType="end"/>
      </w:r>
      <w:r>
        <w:rPr>
          <w:rFonts w:hint="eastAsia" w:ascii="宋体" w:hAnsi="宋体" w:eastAsia="宋体" w:cs="宋体"/>
          <w:kern w:val="0"/>
          <w:sz w:val="24"/>
          <w:szCs w:val="24"/>
        </w:rPr>
        <w:t>.大学图书馆学科知识服务能力理论与实践</w:t>
      </w:r>
      <w:r>
        <w:rPr>
          <w:rFonts w:hint="eastAsia" w:ascii="宋体" w:hAnsi="宋体" w:eastAsia="宋体" w:cs="宋体"/>
          <w:sz w:val="24"/>
          <w:szCs w:val="24"/>
          <w:shd w:val="clear" w:color="auto" w:fill="FFFFFF"/>
        </w:rPr>
        <w:t>[M].北京:海洋出版社,2015.</w:t>
      </w:r>
    </w:p>
    <w:p>
      <w:pPr>
        <w:spacing w:line="360" w:lineRule="auto"/>
        <w:ind w:left="480" w:hanging="480" w:hangingChars="200"/>
        <w:rPr>
          <w:rFonts w:ascii="宋体" w:hAnsi="宋体" w:eastAsia="宋体" w:cs="宋体"/>
          <w:sz w:val="24"/>
          <w:szCs w:val="24"/>
        </w:rPr>
      </w:pPr>
      <w:r>
        <w:rPr>
          <w:rFonts w:hint="eastAsia" w:ascii="宋体" w:hAnsi="宋体" w:eastAsia="宋体" w:cs="宋体"/>
          <w:sz w:val="24"/>
          <w:szCs w:val="24"/>
        </w:rPr>
        <w:t>[5]</w:t>
      </w:r>
      <w:r>
        <w:fldChar w:fldCharType="begin"/>
      </w:r>
      <w:r>
        <w:instrText xml:space="preserve"> HYPERLINK "https://book.duxiu.com/search?sw=%E8%BF%88%E5%85%8B%E5%B0%94%C2%B7%E5%93%88%E9%BB%98&amp;Field=2&amp;channel=search&amp;ecode=UTF-8" </w:instrText>
      </w:r>
      <w:r>
        <w:fldChar w:fldCharType="separate"/>
      </w:r>
      <w:r>
        <w:rPr>
          <w:rFonts w:hint="eastAsia" w:ascii="宋体" w:hAnsi="宋体" w:eastAsia="宋体" w:cs="宋体"/>
          <w:sz w:val="24"/>
          <w:szCs w:val="24"/>
        </w:rPr>
        <w:t>迈克尔·哈默</w:t>
      </w:r>
      <w:r>
        <w:rPr>
          <w:rFonts w:hint="eastAsia" w:ascii="宋体" w:hAnsi="宋体" w:eastAsia="宋体" w:cs="宋体"/>
          <w:sz w:val="24"/>
          <w:szCs w:val="24"/>
        </w:rPr>
        <w:fldChar w:fldCharType="end"/>
      </w:r>
      <w:r>
        <w:rPr>
          <w:rFonts w:hint="eastAsia" w:ascii="宋体" w:hAnsi="宋体" w:eastAsia="宋体" w:cs="宋体"/>
          <w:sz w:val="24"/>
          <w:szCs w:val="24"/>
        </w:rPr>
        <w:t>，</w:t>
      </w:r>
      <w:r>
        <w:fldChar w:fldCharType="begin"/>
      </w:r>
      <w:r>
        <w:instrText xml:space="preserve"> HYPERLINK "https://book.duxiu.com/search?sw=%E8%A9%B9%E5%A7%86%E6%96%AF%C2%B7%E9%92%B1%E7%9A%AE&amp;Field=2&amp;channel=search&amp;ecode=UTF-8" </w:instrText>
      </w:r>
      <w:r>
        <w:fldChar w:fldCharType="separate"/>
      </w:r>
      <w:r>
        <w:rPr>
          <w:rFonts w:hint="eastAsia" w:ascii="宋体" w:hAnsi="宋体" w:eastAsia="宋体" w:cs="宋体"/>
          <w:sz w:val="24"/>
          <w:szCs w:val="24"/>
        </w:rPr>
        <w:t>詹姆斯·钱皮</w:t>
      </w:r>
      <w:r>
        <w:rPr>
          <w:rFonts w:hint="eastAsia" w:ascii="宋体" w:hAnsi="宋体" w:eastAsia="宋体" w:cs="宋体"/>
          <w:sz w:val="24"/>
          <w:szCs w:val="24"/>
        </w:rPr>
        <w:fldChar w:fldCharType="end"/>
      </w:r>
      <w:r>
        <w:rPr>
          <w:rFonts w:hint="eastAsia" w:ascii="宋体" w:hAnsi="宋体" w:eastAsia="宋体" w:cs="宋体"/>
          <w:sz w:val="24"/>
          <w:szCs w:val="24"/>
        </w:rPr>
        <w:t>.企业再造：企业革命的宣言书[M].上海：上海译文出版社,2007</w:t>
      </w:r>
    </w:p>
    <w:p>
      <w:pPr>
        <w:spacing w:line="360" w:lineRule="auto"/>
        <w:rPr>
          <w:rFonts w:ascii="宋体" w:hAnsi="宋体" w:eastAsia="宋体" w:cs="宋体"/>
          <w:sz w:val="24"/>
          <w:szCs w:val="24"/>
          <w:shd w:val="clear" w:color="auto" w:fill="FFFFFF"/>
        </w:rPr>
      </w:pPr>
      <w:r>
        <w:rPr>
          <w:rFonts w:hint="eastAsia" w:ascii="宋体" w:hAnsi="宋体" w:eastAsia="宋体" w:cs="宋体"/>
          <w:sz w:val="24"/>
          <w:szCs w:val="24"/>
        </w:rPr>
        <w:t>[6]</w:t>
      </w:r>
      <w:r>
        <w:rPr>
          <w:rFonts w:hint="eastAsia" w:ascii="宋体" w:hAnsi="宋体" w:eastAsia="宋体" w:cs="宋体"/>
          <w:sz w:val="24"/>
          <w:szCs w:val="24"/>
          <w:shd w:val="clear" w:color="auto" w:fill="FFFFFF"/>
        </w:rPr>
        <w:t>邹再华.现代组织管理学[M].长沙:湖南人民出版社,1988.</w:t>
      </w:r>
    </w:p>
    <w:p>
      <w:pPr>
        <w:spacing w:line="360" w:lineRule="auto"/>
        <w:ind w:left="480" w:hanging="480" w:hangingChars="200"/>
        <w:rPr>
          <w:rFonts w:ascii="宋体" w:hAnsi="宋体" w:eastAsia="宋体" w:cs="宋体"/>
          <w:sz w:val="24"/>
          <w:szCs w:val="24"/>
        </w:rPr>
      </w:pPr>
      <w:r>
        <w:rPr>
          <w:rFonts w:hint="eastAsia" w:ascii="宋体" w:hAnsi="宋体" w:eastAsia="宋体" w:cs="宋体"/>
          <w:kern w:val="0"/>
          <w:sz w:val="24"/>
          <w:szCs w:val="24"/>
        </w:rPr>
        <w:t>[7]</w:t>
      </w:r>
      <w:r>
        <w:rPr>
          <w:rFonts w:hint="eastAsia" w:ascii="宋体" w:hAnsi="宋体" w:eastAsia="宋体" w:cs="宋体"/>
          <w:sz w:val="24"/>
          <w:szCs w:val="24"/>
        </w:rPr>
        <w:t>于纯良.国内大学图书馆业务流程再造与机构重组研究[J].河南图书馆学刊,2019,39(06):133-135</w:t>
      </w:r>
    </w:p>
    <w:p>
      <w:pPr>
        <w:spacing w:line="360" w:lineRule="auto"/>
        <w:ind w:left="480" w:hanging="480" w:hangingChars="200"/>
        <w:rPr>
          <w:rFonts w:ascii="宋体" w:hAnsi="宋体" w:eastAsia="宋体" w:cs="宋体"/>
          <w:sz w:val="24"/>
          <w:szCs w:val="24"/>
        </w:rPr>
      </w:pPr>
      <w:r>
        <w:rPr>
          <w:rFonts w:hint="eastAsia" w:ascii="宋体" w:hAnsi="宋体" w:eastAsia="宋体" w:cs="宋体"/>
          <w:sz w:val="24"/>
          <w:szCs w:val="24"/>
        </w:rPr>
        <w:t>[8]范一聪.数字环境下高校图书馆业务流程重组研究[J].湖南科技学院学报,2019,40(01):140-141.</w:t>
      </w:r>
    </w:p>
    <w:p>
      <w:pPr>
        <w:spacing w:line="360" w:lineRule="auto"/>
        <w:ind w:left="480" w:hanging="480" w:hangingChars="200"/>
        <w:rPr>
          <w:rFonts w:ascii="宋体" w:hAnsi="宋体" w:eastAsia="宋体" w:cs="宋体"/>
          <w:color w:val="333333"/>
          <w:kern w:val="0"/>
          <w:sz w:val="24"/>
          <w:szCs w:val="24"/>
          <w:lang w:bidi="ar"/>
        </w:rPr>
      </w:pPr>
      <w:r>
        <w:rPr>
          <w:rFonts w:hint="eastAsia" w:ascii="宋体" w:hAnsi="宋体" w:eastAsia="宋体" w:cs="宋体"/>
          <w:sz w:val="24"/>
          <w:szCs w:val="24"/>
        </w:rPr>
        <w:t>[9]</w:t>
      </w:r>
      <w:r>
        <w:rPr>
          <w:rFonts w:hint="eastAsia" w:ascii="宋体" w:hAnsi="宋体" w:eastAsia="宋体" w:cs="宋体"/>
          <w:color w:val="333333"/>
          <w:kern w:val="0"/>
          <w:sz w:val="24"/>
          <w:szCs w:val="24"/>
          <w:lang w:bidi="ar"/>
        </w:rPr>
        <w:t>范翠玲,郑云武,张楠.“双一流”建设背景下普通高校图书馆学科馆员学科知识服务能力提升策略研究[J].情报探索,2019(11):90-95.</w:t>
      </w:r>
    </w:p>
    <w:p>
      <w:pPr>
        <w:spacing w:line="360" w:lineRule="auto"/>
        <w:ind w:left="480" w:hanging="480" w:hangingChars="200"/>
        <w:rPr>
          <w:rFonts w:ascii="宋体" w:hAnsi="宋体" w:eastAsia="宋体" w:cs="宋体"/>
          <w:kern w:val="0"/>
          <w:sz w:val="24"/>
          <w:szCs w:val="24"/>
        </w:rPr>
      </w:pPr>
      <w:r>
        <w:rPr>
          <w:rFonts w:hint="eastAsia" w:ascii="宋体" w:hAnsi="宋体" w:eastAsia="宋体" w:cs="宋体"/>
          <w:sz w:val="24"/>
          <w:szCs w:val="24"/>
        </w:rPr>
        <w:t>[10]</w:t>
      </w:r>
      <w:r>
        <w:rPr>
          <w:rFonts w:hint="eastAsia" w:ascii="宋体" w:hAnsi="宋体" w:eastAsia="宋体" w:cs="宋体"/>
          <w:color w:val="333333"/>
          <w:kern w:val="0"/>
          <w:sz w:val="24"/>
          <w:szCs w:val="24"/>
          <w:lang w:bidi="ar"/>
        </w:rPr>
        <w:t>初景利,赵艳.图书馆从资源能力到服务能力的转型变革[J].图书情报工作,2019,63(01):11-17.</w:t>
      </w:r>
    </w:p>
    <w:p>
      <w:pPr>
        <w:spacing w:line="360" w:lineRule="auto"/>
        <w:ind w:left="480" w:hanging="480" w:hangingChars="200"/>
        <w:rPr>
          <w:rFonts w:ascii="宋体" w:hAnsi="宋体" w:eastAsia="宋体" w:cs="宋体"/>
          <w:b/>
          <w:bCs/>
          <w:kern w:val="0"/>
          <w:sz w:val="24"/>
          <w:szCs w:val="24"/>
        </w:rPr>
      </w:pPr>
      <w:r>
        <w:rPr>
          <w:rFonts w:hint="eastAsia" w:ascii="宋体" w:hAnsi="宋体" w:eastAsia="宋体" w:cs="宋体"/>
          <w:kern w:val="0"/>
          <w:sz w:val="24"/>
          <w:szCs w:val="24"/>
        </w:rPr>
        <w:t>[11]</w:t>
      </w:r>
      <w:r>
        <w:rPr>
          <w:rFonts w:hint="eastAsia" w:ascii="宋体" w:hAnsi="宋体" w:eastAsia="宋体" w:cs="宋体"/>
          <w:sz w:val="24"/>
          <w:szCs w:val="24"/>
        </w:rPr>
        <w:t>夏咏梅,李英剑.“互联网+图书馆”业务重组方向与内容研究[J].农业图书情报学刊,2018,30(10):103-106.</w:t>
      </w:r>
    </w:p>
    <w:p>
      <w:pPr>
        <w:spacing w:line="360" w:lineRule="auto"/>
        <w:ind w:left="480" w:hanging="480" w:hangingChars="200"/>
        <w:rPr>
          <w:rFonts w:ascii="宋体" w:hAnsi="宋体" w:eastAsia="宋体" w:cs="宋体"/>
          <w:b/>
          <w:bCs/>
          <w:kern w:val="0"/>
          <w:sz w:val="24"/>
          <w:szCs w:val="24"/>
        </w:rPr>
      </w:pPr>
      <w:r>
        <w:rPr>
          <w:rFonts w:hint="eastAsia" w:ascii="宋体" w:hAnsi="宋体" w:eastAsia="宋体" w:cs="宋体"/>
          <w:kern w:val="0"/>
          <w:sz w:val="24"/>
          <w:szCs w:val="24"/>
        </w:rPr>
        <w:t>[12]</w:t>
      </w:r>
      <w:r>
        <w:rPr>
          <w:rFonts w:hint="eastAsia" w:ascii="宋体" w:hAnsi="宋体" w:eastAsia="宋体" w:cs="宋体"/>
          <w:sz w:val="24"/>
          <w:szCs w:val="24"/>
        </w:rPr>
        <w:t>彭焱,赵雪岩.大学图书馆业务机构重组的SWOT分析[J].图书馆界,2018(03):16-20.</w:t>
      </w:r>
    </w:p>
    <w:p>
      <w:pPr>
        <w:spacing w:line="360" w:lineRule="auto"/>
        <w:ind w:left="480" w:hanging="480" w:hangingChars="200"/>
        <w:rPr>
          <w:rFonts w:ascii="宋体" w:hAnsi="宋体" w:eastAsia="宋体" w:cs="宋体"/>
          <w:kern w:val="0"/>
          <w:sz w:val="24"/>
          <w:szCs w:val="24"/>
        </w:rPr>
      </w:pPr>
      <w:r>
        <w:rPr>
          <w:rFonts w:hint="eastAsia" w:ascii="宋体" w:hAnsi="宋体" w:eastAsia="宋体" w:cs="宋体"/>
          <w:kern w:val="0"/>
          <w:sz w:val="24"/>
          <w:szCs w:val="24"/>
        </w:rPr>
        <w:t>[13]</w:t>
      </w:r>
      <w:r>
        <w:rPr>
          <w:rFonts w:hint="eastAsia" w:ascii="宋体" w:hAnsi="宋体" w:eastAsia="宋体" w:cs="宋体"/>
          <w:sz w:val="24"/>
          <w:szCs w:val="24"/>
        </w:rPr>
        <w:t>董珊珊,刘华.中美大学图书馆机构重组比较研究[J].图书馆学研究,2016(23):11-15.</w:t>
      </w:r>
    </w:p>
    <w:p>
      <w:pPr>
        <w:spacing w:line="360" w:lineRule="auto"/>
        <w:ind w:left="480" w:hanging="480" w:hangingChars="200"/>
        <w:rPr>
          <w:rFonts w:ascii="宋体" w:hAnsi="宋体" w:eastAsia="宋体" w:cs="宋体"/>
          <w:sz w:val="24"/>
          <w:szCs w:val="24"/>
        </w:rPr>
      </w:pPr>
      <w:r>
        <w:rPr>
          <w:rFonts w:hint="eastAsia" w:ascii="宋体" w:hAnsi="宋体" w:eastAsia="宋体" w:cs="宋体"/>
          <w:kern w:val="0"/>
          <w:sz w:val="24"/>
          <w:szCs w:val="24"/>
        </w:rPr>
        <w:t>[14]</w:t>
      </w:r>
      <w:r>
        <w:rPr>
          <w:rFonts w:hint="eastAsia" w:ascii="宋体" w:hAnsi="宋体" w:eastAsia="宋体" w:cs="宋体"/>
          <w:sz w:val="24"/>
          <w:szCs w:val="24"/>
        </w:rPr>
        <w:t>金小璞,徐芳,毕新.“互联网+”时代图书馆范式演变与业务流程重组[J].图书馆研究与工作,2017(05):5-11.</w:t>
      </w:r>
    </w:p>
    <w:p>
      <w:pPr>
        <w:spacing w:line="360" w:lineRule="auto"/>
        <w:ind w:left="480" w:hanging="480" w:hangingChars="200"/>
        <w:rPr>
          <w:rFonts w:ascii="宋体" w:hAnsi="宋体" w:eastAsia="宋体" w:cs="宋体"/>
          <w:sz w:val="24"/>
          <w:szCs w:val="24"/>
        </w:rPr>
      </w:pPr>
      <w:r>
        <w:rPr>
          <w:rFonts w:hint="eastAsia" w:ascii="宋体" w:hAnsi="宋体" w:eastAsia="宋体" w:cs="宋体"/>
          <w:kern w:val="0"/>
          <w:sz w:val="24"/>
          <w:szCs w:val="24"/>
        </w:rPr>
        <w:t>[15]</w:t>
      </w:r>
      <w:r>
        <w:rPr>
          <w:rFonts w:hint="eastAsia" w:ascii="宋体" w:hAnsi="宋体" w:eastAsia="宋体" w:cs="宋体"/>
          <w:sz w:val="24"/>
          <w:szCs w:val="24"/>
        </w:rPr>
        <w:t>朱强,别立谦.面向未来的大学图书馆业务与机构重组——以北京大学图书馆为例[J].大学图书馆学报,2016,34(02):20-27.</w:t>
      </w:r>
    </w:p>
    <w:p>
      <w:pPr>
        <w:spacing w:line="360" w:lineRule="auto"/>
        <w:ind w:left="480" w:hanging="480" w:hangingChars="200"/>
        <w:rPr>
          <w:rFonts w:ascii="宋体" w:hAnsi="宋体" w:eastAsia="宋体" w:cs="宋体"/>
          <w:sz w:val="24"/>
          <w:szCs w:val="24"/>
        </w:rPr>
      </w:pPr>
      <w:r>
        <w:rPr>
          <w:rFonts w:hint="eastAsia" w:ascii="宋体" w:hAnsi="宋体" w:eastAsia="宋体" w:cs="宋体"/>
          <w:sz w:val="24"/>
          <w:szCs w:val="24"/>
        </w:rPr>
        <w:t>[16]谌爱容.基于团队、便利用户的高校图书馆机构重组模式探讨[J].农业图书情报学刊,2015,27(02):128-131.</w:t>
      </w:r>
    </w:p>
    <w:p>
      <w:pPr>
        <w:spacing w:line="360" w:lineRule="auto"/>
        <w:rPr>
          <w:rFonts w:ascii="宋体" w:hAnsi="宋体" w:eastAsia="宋体" w:cs="宋体"/>
          <w:sz w:val="24"/>
          <w:szCs w:val="24"/>
        </w:rPr>
      </w:pPr>
      <w:r>
        <w:rPr>
          <w:rFonts w:hint="eastAsia" w:ascii="宋体" w:hAnsi="宋体" w:eastAsia="宋体" w:cs="宋体"/>
          <w:sz w:val="24"/>
          <w:szCs w:val="24"/>
        </w:rPr>
        <w:t>[17]王伟.哈佛图书馆重组综述[J].图书馆论坛,2014,34(01):91-101.</w:t>
      </w:r>
    </w:p>
    <w:p>
      <w:pPr>
        <w:spacing w:line="360" w:lineRule="auto"/>
        <w:ind w:left="480" w:hanging="480" w:hangingChars="200"/>
        <w:rPr>
          <w:rFonts w:ascii="宋体" w:hAnsi="宋体" w:eastAsia="宋体" w:cs="宋体"/>
          <w:sz w:val="24"/>
          <w:szCs w:val="24"/>
        </w:rPr>
      </w:pPr>
      <w:r>
        <w:rPr>
          <w:rFonts w:hint="eastAsia" w:ascii="宋体" w:hAnsi="宋体" w:eastAsia="宋体" w:cs="宋体"/>
          <w:sz w:val="24"/>
          <w:szCs w:val="24"/>
        </w:rPr>
        <w:t>[18]</w:t>
      </w:r>
      <w:r>
        <w:rPr>
          <w:rFonts w:hint="eastAsia" w:ascii="宋体" w:hAnsi="宋体" w:eastAsia="宋体" w:cs="宋体"/>
          <w:sz w:val="24"/>
          <w:szCs w:val="24"/>
          <w:shd w:val="clear" w:color="auto" w:fill="FFFFFF"/>
        </w:rPr>
        <w:t>陈思彤,那春光.“985”高校图书馆组织机构设置的调查与思考[J].图书情报工作,2018,62(04):50-56.</w:t>
      </w:r>
    </w:p>
    <w:p>
      <w:pPr>
        <w:spacing w:line="360" w:lineRule="auto"/>
        <w:ind w:left="480" w:hanging="480" w:hangingChars="200"/>
        <w:rPr>
          <w:rFonts w:ascii="宋体" w:hAnsi="宋体" w:eastAsia="宋体" w:cs="宋体"/>
          <w:sz w:val="24"/>
          <w:szCs w:val="24"/>
        </w:rPr>
      </w:pPr>
      <w:r>
        <w:rPr>
          <w:rFonts w:hint="eastAsia" w:ascii="宋体" w:hAnsi="宋体" w:eastAsia="宋体" w:cs="宋体"/>
          <w:sz w:val="24"/>
          <w:szCs w:val="24"/>
        </w:rPr>
        <w:t>[19]郭晶,陈进.大服务视角下的图书馆业务布局重组实践[J].图书馆理论与实践,2014(02):11-14.</w:t>
      </w:r>
    </w:p>
    <w:p>
      <w:pPr>
        <w:spacing w:line="360" w:lineRule="auto"/>
        <w:ind w:left="480" w:hanging="480" w:hangingChars="200"/>
        <w:rPr>
          <w:rFonts w:ascii="宋体" w:hAnsi="宋体" w:eastAsia="宋体" w:cs="宋体"/>
          <w:color w:val="333333"/>
          <w:kern w:val="0"/>
          <w:sz w:val="24"/>
          <w:szCs w:val="24"/>
          <w:lang w:bidi="ar"/>
        </w:rPr>
      </w:pPr>
      <w:r>
        <w:rPr>
          <w:rFonts w:hint="eastAsia" w:ascii="宋体" w:hAnsi="宋体" w:eastAsia="宋体" w:cs="宋体"/>
          <w:sz w:val="24"/>
          <w:szCs w:val="24"/>
        </w:rPr>
        <w:t>[20]</w:t>
      </w:r>
      <w:r>
        <w:rPr>
          <w:rFonts w:hint="eastAsia" w:ascii="宋体" w:hAnsi="宋体" w:eastAsia="宋体" w:cs="宋体"/>
          <w:color w:val="333333"/>
          <w:kern w:val="0"/>
          <w:sz w:val="24"/>
          <w:szCs w:val="24"/>
          <w:lang w:bidi="ar"/>
        </w:rPr>
        <w:t>陈香珠,何殷婷.“双一流”背景下高校图书馆服务能力评价指标体系构建[J].大学图书情报学刊,2018,36(05):7-12.</w:t>
      </w:r>
    </w:p>
    <w:p>
      <w:pPr>
        <w:spacing w:line="360" w:lineRule="auto"/>
        <w:ind w:left="480" w:hanging="480" w:hangingChars="200"/>
        <w:rPr>
          <w:rFonts w:ascii="宋体" w:hAnsi="宋体" w:eastAsia="宋体" w:cs="宋体"/>
          <w:kern w:val="0"/>
          <w:sz w:val="24"/>
          <w:szCs w:val="24"/>
        </w:rPr>
      </w:pPr>
      <w:r>
        <w:rPr>
          <w:rFonts w:hint="eastAsia" w:ascii="宋体" w:hAnsi="宋体" w:eastAsia="宋体" w:cs="宋体"/>
          <w:kern w:val="0"/>
          <w:sz w:val="24"/>
          <w:szCs w:val="24"/>
        </w:rPr>
        <w:t>[21]刘时容.《普通高等学校图书馆规程》5个版本之比照解读[J].河北科技图苑,2018,31(02):8-13.</w:t>
      </w:r>
    </w:p>
    <w:p>
      <w:pPr>
        <w:spacing w:line="360" w:lineRule="auto"/>
        <w:ind w:left="480" w:hanging="480" w:hangingChars="200"/>
        <w:rPr>
          <w:rFonts w:ascii="宋体" w:hAnsi="宋体" w:eastAsia="宋体" w:cs="宋体"/>
          <w:kern w:val="0"/>
          <w:sz w:val="24"/>
          <w:szCs w:val="24"/>
        </w:rPr>
      </w:pPr>
      <w:r>
        <w:rPr>
          <w:rFonts w:hint="eastAsia" w:ascii="宋体" w:hAnsi="宋体" w:eastAsia="宋体" w:cs="宋体"/>
          <w:kern w:val="0"/>
          <w:sz w:val="24"/>
          <w:szCs w:val="24"/>
        </w:rPr>
        <w:t>[22]普通高等学校图书馆规程[J].大学图书馆学报,2016,34(02):5-8</w:t>
      </w:r>
    </w:p>
    <w:p>
      <w:pPr>
        <w:spacing w:line="360" w:lineRule="auto"/>
        <w:ind w:left="480" w:hanging="480" w:hangingChars="200"/>
        <w:rPr>
          <w:rFonts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[23]任萍萍.“双一流”驱动下高校图书馆学科知识服务能力体系建设研究[J].情报科学,2019,37(12):93-97.</w:t>
      </w:r>
    </w:p>
    <w:p>
      <w:pPr>
        <w:topLinePunct/>
        <w:spacing w:line="360" w:lineRule="auto"/>
        <w:ind w:left="480" w:hanging="480" w:hangingChars="200"/>
        <w:rPr>
          <w:rFonts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[24]O. O. Adeyemo. An Evaluation of Organizational Structure in Two University Libraries[J].International Journal of Library Science,2016,14(1).14-24</w:t>
      </w:r>
    </w:p>
    <w:p>
      <w:pPr>
        <w:wordWrap w:val="0"/>
        <w:topLinePunct/>
        <w:spacing w:line="360" w:lineRule="auto"/>
        <w:ind w:left="480" w:hanging="480" w:hangingChars="200"/>
        <w:rPr>
          <w:rFonts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 xml:space="preserve">[25]Therese Ahern ,Jacqueline Beattie. Embedding library and </w:t>
      </w:r>
    </w:p>
    <w:p>
      <w:pPr>
        <w:wordWrap w:val="0"/>
        <w:topLinePunct/>
        <w:spacing w:line="360" w:lineRule="auto"/>
        <w:ind w:left="479" w:leftChars="228"/>
        <w:rPr>
          <w:rFonts w:ascii="宋体" w:hAnsi="宋体" w:eastAsia="宋体" w:cs="宋体"/>
          <w:color w:val="333333"/>
          <w:sz w:val="18"/>
          <w:szCs w:val="18"/>
          <w:shd w:val="clear" w:color="auto" w:fill="FFFFFF"/>
        </w:rPr>
      </w:pPr>
      <w:r>
        <w:rPr>
          <w:rFonts w:hint="eastAsia" w:ascii="宋体" w:hAnsi="宋体" w:eastAsia="宋体" w:cs="宋体"/>
          <w:color w:val="333333"/>
          <w:kern w:val="0"/>
          <w:sz w:val="24"/>
          <w:szCs w:val="24"/>
          <w:lang w:bidi="ar"/>
        </w:rPr>
        <w:t>information management techniques into business processes: A case study Business[J]. Information Review 2015, 32(3) 171–174</w:t>
      </w:r>
    </w:p>
    <w:p>
      <w:pPr>
        <w:spacing w:line="360" w:lineRule="auto"/>
        <w:ind w:left="480" w:hanging="480" w:hangingChars="200"/>
        <w:rPr>
          <w:rFonts w:ascii="宋体" w:hAnsi="宋体" w:eastAsia="宋体" w:cs="宋体"/>
          <w:kern w:val="0"/>
          <w:sz w:val="24"/>
          <w:szCs w:val="24"/>
        </w:rPr>
      </w:pPr>
      <w:r>
        <w:rPr>
          <w:rFonts w:hint="eastAsia" w:ascii="宋体" w:hAnsi="宋体" w:eastAsia="宋体" w:cs="宋体"/>
          <w:color w:val="333333"/>
          <w:kern w:val="0"/>
          <w:sz w:val="24"/>
          <w:szCs w:val="24"/>
          <w:lang w:bidi="ar"/>
        </w:rPr>
        <w:t>[26]</w:t>
      </w:r>
      <w:r>
        <w:rPr>
          <w:rFonts w:hint="eastAsia" w:ascii="宋体" w:hAnsi="宋体" w:eastAsia="宋体" w:cs="宋体"/>
          <w:kern w:val="0"/>
          <w:sz w:val="24"/>
          <w:szCs w:val="24"/>
        </w:rPr>
        <w:t>徐军华. 高校图书馆业务流程重组的模式研究[D].武汉大学,2012.</w:t>
      </w:r>
    </w:p>
    <w:p>
      <w:pPr>
        <w:widowControl/>
        <w:shd w:val="clear" w:color="auto" w:fill="FFFFFF"/>
        <w:wordWrap w:val="0"/>
        <w:spacing w:line="360" w:lineRule="auto"/>
        <w:ind w:left="480" w:hanging="480" w:hangingChars="200"/>
        <w:jc w:val="left"/>
        <w:rPr>
          <w:rFonts w:ascii="宋体" w:hAnsi="宋体" w:eastAsia="宋体" w:cs="宋体"/>
          <w:sz w:val="24"/>
          <w:szCs w:val="24"/>
        </w:rPr>
      </w:pPr>
      <w:r>
        <w:rPr>
          <w:rFonts w:hint="eastAsia" w:ascii="宋体" w:hAnsi="宋体" w:eastAsia="宋体" w:cs="宋体"/>
          <w:kern w:val="0"/>
          <w:sz w:val="24"/>
          <w:szCs w:val="24"/>
        </w:rPr>
        <w:t>[27]</w:t>
      </w:r>
      <w:r>
        <w:rPr>
          <w:rFonts w:hint="eastAsia" w:ascii="宋体" w:hAnsi="宋体" w:eastAsia="宋体" w:cs="宋体"/>
          <w:sz w:val="24"/>
          <w:szCs w:val="24"/>
          <w:shd w:val="clear" w:color="auto" w:fill="FFFFFF"/>
        </w:rPr>
        <w:t>李平.三台架构”：面向未来的生态型组织范式[EB/OL]</w:t>
      </w:r>
      <w:r>
        <w:rPr>
          <w:rFonts w:hint="eastAsia" w:ascii="宋体" w:hAnsi="宋体" w:eastAsia="宋体" w:cs="宋体"/>
          <w:sz w:val="24"/>
          <w:szCs w:val="24"/>
        </w:rPr>
        <w:t>http://www.ebusinessreview.cn/articledetail-295097.html</w:t>
      </w:r>
    </w:p>
    <w:p>
      <w:pPr>
        <w:widowControl/>
        <w:shd w:val="clear" w:color="auto" w:fill="FFFFFF"/>
        <w:wordWrap w:val="0"/>
        <w:spacing w:line="360" w:lineRule="auto"/>
        <w:ind w:left="480" w:hanging="480" w:hangingChars="200"/>
        <w:jc w:val="left"/>
        <w:rPr>
          <w:rFonts w:ascii="宋体" w:hAnsi="宋体" w:eastAsia="宋体" w:cs="宋体"/>
          <w:sz w:val="24"/>
          <w:szCs w:val="24"/>
        </w:rPr>
      </w:pPr>
    </w:p>
    <w:p>
      <w:pPr>
        <w:widowControl/>
        <w:shd w:val="clear" w:color="auto" w:fill="FFFFFF"/>
        <w:wordWrap w:val="0"/>
        <w:spacing w:line="360" w:lineRule="auto"/>
        <w:ind w:left="480" w:hanging="480" w:hangingChars="200"/>
        <w:jc w:val="left"/>
        <w:rPr>
          <w:rFonts w:ascii="宋体" w:hAnsi="宋体" w:eastAsia="宋体" w:cs="宋体"/>
          <w:sz w:val="24"/>
          <w:szCs w:val="24"/>
        </w:rPr>
      </w:pPr>
    </w:p>
    <w:p>
      <w:pPr>
        <w:widowControl/>
        <w:shd w:val="clear" w:color="auto" w:fill="FFFFFF"/>
        <w:wordWrap w:val="0"/>
        <w:spacing w:line="360" w:lineRule="auto"/>
        <w:ind w:left="480" w:hanging="480" w:hangingChars="200"/>
        <w:jc w:val="left"/>
        <w:rPr>
          <w:rFonts w:ascii="宋体" w:hAnsi="宋体" w:eastAsia="宋体" w:cs="宋体"/>
          <w:sz w:val="24"/>
          <w:szCs w:val="24"/>
        </w:rPr>
      </w:pPr>
    </w:p>
    <w:p>
      <w:pPr>
        <w:widowControl/>
        <w:shd w:val="clear" w:color="auto" w:fill="FFFFFF"/>
        <w:wordWrap w:val="0"/>
        <w:spacing w:line="360" w:lineRule="auto"/>
        <w:ind w:left="480" w:hanging="480" w:hangingChars="200"/>
        <w:jc w:val="left"/>
        <w:rPr>
          <w:rFonts w:ascii="宋体" w:hAnsi="宋体" w:eastAsia="宋体" w:cs="宋体"/>
          <w:sz w:val="24"/>
          <w:szCs w:val="24"/>
        </w:rPr>
      </w:pPr>
    </w:p>
    <w:p>
      <w:pPr>
        <w:widowControl/>
        <w:shd w:val="clear" w:color="auto" w:fill="FFFFFF"/>
        <w:wordWrap w:val="0"/>
        <w:spacing w:line="360" w:lineRule="auto"/>
        <w:ind w:left="480" w:hanging="480" w:hangingChars="200"/>
        <w:jc w:val="left"/>
        <w:rPr>
          <w:rFonts w:ascii="宋体" w:hAnsi="宋体" w:eastAsia="宋体" w:cs="宋体"/>
          <w:sz w:val="24"/>
          <w:szCs w:val="24"/>
        </w:rPr>
      </w:pPr>
    </w:p>
    <w:p>
      <w:pPr>
        <w:widowControl/>
        <w:shd w:val="clear" w:color="auto" w:fill="FFFFFF"/>
        <w:wordWrap w:val="0"/>
        <w:spacing w:line="360" w:lineRule="auto"/>
        <w:ind w:left="480" w:hanging="480" w:hangingChars="200"/>
        <w:jc w:val="left"/>
        <w:rPr>
          <w:rFonts w:ascii="宋体" w:hAnsi="宋体" w:eastAsia="宋体" w:cs="宋体"/>
          <w:sz w:val="24"/>
          <w:szCs w:val="24"/>
        </w:rPr>
        <w:sectPr>
          <w:pgSz w:w="11906" w:h="16838"/>
          <w:pgMar w:top="1440" w:right="1797" w:bottom="1440" w:left="1797" w:header="851" w:footer="992" w:gutter="0"/>
          <w:cols w:space="425" w:num="1"/>
          <w:docGrid w:linePitch="312" w:charSpace="0"/>
        </w:sectPr>
      </w:pPr>
    </w:p>
    <w:p>
      <w:pPr>
        <w:widowControl/>
        <w:shd w:val="clear" w:color="auto" w:fill="FFFFFF"/>
        <w:wordWrap w:val="0"/>
        <w:spacing w:line="360" w:lineRule="auto"/>
        <w:ind w:left="480" w:hanging="480" w:hangingChars="200"/>
        <w:jc w:val="left"/>
        <w:rPr>
          <w:rFonts w:ascii="宋体" w:hAnsi="宋体" w:eastAsia="宋体" w:cs="宋体"/>
          <w:sz w:val="24"/>
          <w:szCs w:val="24"/>
        </w:rPr>
      </w:pPr>
    </w:p>
    <w:p>
      <w:pPr>
        <w:widowControl/>
        <w:shd w:val="clear" w:color="auto" w:fill="FFFFFF"/>
        <w:wordWrap w:val="0"/>
        <w:spacing w:line="360" w:lineRule="auto"/>
        <w:ind w:left="480" w:hanging="480" w:hangingChars="200"/>
        <w:jc w:val="left"/>
        <w:rPr>
          <w:rFonts w:ascii="宋体" w:hAnsi="宋体" w:eastAsia="宋体" w:cs="宋体"/>
          <w:sz w:val="24"/>
          <w:szCs w:val="24"/>
        </w:rPr>
      </w:pPr>
    </w:p>
    <w:p>
      <w:pPr>
        <w:widowControl/>
        <w:shd w:val="clear" w:color="auto" w:fill="FFFFFF"/>
        <w:wordWrap w:val="0"/>
        <w:spacing w:line="360" w:lineRule="auto"/>
        <w:ind w:left="480" w:hanging="480" w:hangingChars="200"/>
        <w:jc w:val="left"/>
        <w:outlineLvl w:val="0"/>
        <w:rPr>
          <w:rFonts w:ascii="宋体" w:hAnsi="宋体" w:eastAsia="宋体" w:cs="宋体"/>
          <w:sz w:val="24"/>
          <w:szCs w:val="24"/>
        </w:rPr>
      </w:pPr>
      <w:bookmarkStart w:id="137" w:name="_Toc7351"/>
      <w:bookmarkStart w:id="138" w:name="_Toc9740"/>
      <w:r>
        <w:rPr>
          <w:rFonts w:hint="eastAsia" w:ascii="宋体" w:hAnsi="宋体" w:eastAsia="宋体" w:cs="宋体"/>
          <w:sz w:val="24"/>
          <w:szCs w:val="24"/>
        </w:rPr>
        <w:t>项目结题验收单</w:t>
      </w:r>
      <w:bookmarkEnd w:id="137"/>
      <w:bookmarkEnd w:id="138"/>
    </w:p>
    <w:p>
      <w:pPr>
        <w:widowControl/>
        <w:shd w:val="clear" w:color="auto" w:fill="FFFFFF"/>
        <w:wordWrap w:val="0"/>
        <w:spacing w:line="360" w:lineRule="auto"/>
        <w:ind w:left="420" w:hanging="420" w:hangingChars="200"/>
        <w:jc w:val="left"/>
      </w:pPr>
      <w:r>
        <w:drawing>
          <wp:inline distT="0" distB="0" distL="114300" distR="114300">
            <wp:extent cx="6527165" cy="8180070"/>
            <wp:effectExtent l="0" t="0" r="635" b="1143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41"/>
                    <a:stretch>
                      <a:fillRect/>
                    </a:stretch>
                  </pic:blipFill>
                  <pic:spPr>
                    <a:xfrm>
                      <a:off x="0" y="0"/>
                      <a:ext cx="6527165" cy="8180070"/>
                    </a:xfrm>
                    <a:prstGeom prst="rect">
                      <a:avLst/>
                    </a:prstGeom>
                    <a:noFill/>
                    <a:ln>
                      <a:noFill/>
                    </a:ln>
                  </pic:spPr>
                </pic:pic>
              </a:graphicData>
            </a:graphic>
          </wp:inline>
        </w:drawing>
      </w:r>
    </w:p>
    <w:p>
      <w:pPr>
        <w:widowControl/>
        <w:shd w:val="clear" w:color="auto" w:fill="FFFFFF"/>
        <w:wordWrap w:val="0"/>
        <w:spacing w:line="360" w:lineRule="auto"/>
        <w:ind w:left="420" w:hanging="420" w:hangingChars="200"/>
        <w:jc w:val="left"/>
      </w:pPr>
    </w:p>
    <w:p>
      <w:pPr>
        <w:widowControl/>
        <w:shd w:val="clear" w:color="auto" w:fill="FFFFFF"/>
        <w:wordWrap w:val="0"/>
        <w:spacing w:line="360" w:lineRule="auto"/>
        <w:ind w:left="420" w:hanging="420" w:hangingChars="200"/>
        <w:jc w:val="left"/>
      </w:pPr>
    </w:p>
    <w:p>
      <w:pPr>
        <w:widowControl/>
        <w:shd w:val="clear" w:color="auto" w:fill="FFFFFF"/>
        <w:wordWrap w:val="0"/>
        <w:spacing w:line="360" w:lineRule="auto"/>
        <w:ind w:left="420" w:hanging="420" w:hangingChars="200"/>
        <w:jc w:val="left"/>
      </w:pPr>
    </w:p>
    <w:p>
      <w:pPr>
        <w:widowControl/>
        <w:shd w:val="clear" w:color="auto" w:fill="FFFFFF"/>
        <w:wordWrap w:val="0"/>
        <w:spacing w:line="360" w:lineRule="auto"/>
        <w:ind w:left="420" w:hanging="420" w:hangingChars="200"/>
        <w:jc w:val="left"/>
      </w:pPr>
    </w:p>
    <w:p>
      <w:pPr>
        <w:widowControl/>
        <w:shd w:val="clear" w:color="auto" w:fill="FFFFFF"/>
        <w:wordWrap w:val="0"/>
        <w:spacing w:line="360" w:lineRule="auto"/>
        <w:ind w:left="420" w:hanging="420" w:hangingChars="200"/>
        <w:jc w:val="left"/>
      </w:pPr>
    </w:p>
    <w:p>
      <w:pPr>
        <w:widowControl/>
        <w:shd w:val="clear" w:color="auto" w:fill="FFFFFF"/>
        <w:wordWrap w:val="0"/>
        <w:spacing w:line="360" w:lineRule="auto"/>
        <w:ind w:left="420" w:hanging="420" w:hangingChars="200"/>
        <w:jc w:val="left"/>
      </w:pPr>
      <w:r>
        <w:drawing>
          <wp:inline distT="0" distB="0" distL="114300" distR="114300">
            <wp:extent cx="6618605" cy="8267065"/>
            <wp:effectExtent l="0" t="0" r="10795" b="63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42"/>
                    <a:stretch>
                      <a:fillRect/>
                    </a:stretch>
                  </pic:blipFill>
                  <pic:spPr>
                    <a:xfrm>
                      <a:off x="0" y="0"/>
                      <a:ext cx="6618605" cy="8267065"/>
                    </a:xfrm>
                    <a:prstGeom prst="rect">
                      <a:avLst/>
                    </a:prstGeom>
                    <a:noFill/>
                    <a:ln>
                      <a:noFill/>
                    </a:ln>
                  </pic:spPr>
                </pic:pic>
              </a:graphicData>
            </a:graphic>
          </wp:inline>
        </w:drawing>
      </w:r>
    </w:p>
    <w:sectPr>
      <w:pgSz w:w="11906" w:h="16838"/>
      <w:pgMar w:top="0" w:right="1797" w:bottom="0" w:left="1020"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华文仿宋">
    <w:altName w:val="宋体"/>
    <w:panose1 w:val="00000000000000000000"/>
    <w:charset w:val="86"/>
    <w:family w:val="auto"/>
    <w:pitch w:val="default"/>
    <w:sig w:usb0="00000000" w:usb1="00000000" w:usb2="00000010" w:usb3="00000000" w:csb0="000400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pict>
        <v:shape id="_x0000_s2050" o:spid="_x0000_s2050"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w: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8D7E25"/>
    <w:multiLevelType w:val="singleLevel"/>
    <w:tmpl w:val="828D7E25"/>
    <w:lvl w:ilvl="0" w:tentative="0">
      <w:start w:val="1"/>
      <w:numFmt w:val="decimal"/>
      <w:suff w:val="nothing"/>
      <w:lvlText w:val="（%1）"/>
      <w:lvlJc w:val="left"/>
    </w:lvl>
  </w:abstractNum>
  <w:abstractNum w:abstractNumId="1">
    <w:nsid w:val="FCF52EFC"/>
    <w:multiLevelType w:val="singleLevel"/>
    <w:tmpl w:val="FCF52EFC"/>
    <w:lvl w:ilvl="0" w:tentative="0">
      <w:start w:val="4"/>
      <w:numFmt w:val="decimal"/>
      <w:suff w:val="nothing"/>
      <w:lvlText w:val="（%1）"/>
      <w:lvlJc w:val="left"/>
    </w:lvl>
  </w:abstractNum>
  <w:abstractNum w:abstractNumId="2">
    <w:nsid w:val="17E33440"/>
    <w:multiLevelType w:val="singleLevel"/>
    <w:tmpl w:val="17E33440"/>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0347E"/>
    <w:rsid w:val="000034F4"/>
    <w:rsid w:val="00084F77"/>
    <w:rsid w:val="000A6325"/>
    <w:rsid w:val="000E09B7"/>
    <w:rsid w:val="000F7F0E"/>
    <w:rsid w:val="00100F02"/>
    <w:rsid w:val="0010565D"/>
    <w:rsid w:val="001150E2"/>
    <w:rsid w:val="0012620D"/>
    <w:rsid w:val="001B24AA"/>
    <w:rsid w:val="001C4AC2"/>
    <w:rsid w:val="002C0305"/>
    <w:rsid w:val="002D699E"/>
    <w:rsid w:val="002F07E8"/>
    <w:rsid w:val="002F3526"/>
    <w:rsid w:val="003310A0"/>
    <w:rsid w:val="00365EC4"/>
    <w:rsid w:val="00392862"/>
    <w:rsid w:val="003A2282"/>
    <w:rsid w:val="003B09C8"/>
    <w:rsid w:val="003D4785"/>
    <w:rsid w:val="003F6446"/>
    <w:rsid w:val="003F7AC3"/>
    <w:rsid w:val="0041500E"/>
    <w:rsid w:val="004154CF"/>
    <w:rsid w:val="00431A25"/>
    <w:rsid w:val="00431F16"/>
    <w:rsid w:val="004529F9"/>
    <w:rsid w:val="004713C0"/>
    <w:rsid w:val="00476F61"/>
    <w:rsid w:val="00484534"/>
    <w:rsid w:val="004E106E"/>
    <w:rsid w:val="004E6138"/>
    <w:rsid w:val="004F1718"/>
    <w:rsid w:val="004F3AA0"/>
    <w:rsid w:val="00514309"/>
    <w:rsid w:val="005322E8"/>
    <w:rsid w:val="00540A05"/>
    <w:rsid w:val="00544772"/>
    <w:rsid w:val="0054722F"/>
    <w:rsid w:val="00562C5D"/>
    <w:rsid w:val="005B5369"/>
    <w:rsid w:val="005D77CB"/>
    <w:rsid w:val="00613AA3"/>
    <w:rsid w:val="00664BFC"/>
    <w:rsid w:val="0069720C"/>
    <w:rsid w:val="006A6955"/>
    <w:rsid w:val="006B417D"/>
    <w:rsid w:val="006B42D3"/>
    <w:rsid w:val="006C3C2B"/>
    <w:rsid w:val="007365F0"/>
    <w:rsid w:val="0079281B"/>
    <w:rsid w:val="007A6EA8"/>
    <w:rsid w:val="007D5308"/>
    <w:rsid w:val="00825E74"/>
    <w:rsid w:val="008919EE"/>
    <w:rsid w:val="008A25EE"/>
    <w:rsid w:val="008D18C4"/>
    <w:rsid w:val="008E0343"/>
    <w:rsid w:val="008E7E1B"/>
    <w:rsid w:val="00902FE8"/>
    <w:rsid w:val="0090347E"/>
    <w:rsid w:val="00961250"/>
    <w:rsid w:val="009B0D62"/>
    <w:rsid w:val="009D0D4E"/>
    <w:rsid w:val="009D70C4"/>
    <w:rsid w:val="009F7074"/>
    <w:rsid w:val="00AA27FC"/>
    <w:rsid w:val="00AF31BC"/>
    <w:rsid w:val="00B3176D"/>
    <w:rsid w:val="00B35A08"/>
    <w:rsid w:val="00B43357"/>
    <w:rsid w:val="00B50AE3"/>
    <w:rsid w:val="00B672FE"/>
    <w:rsid w:val="00B7497E"/>
    <w:rsid w:val="00BD0145"/>
    <w:rsid w:val="00C245BD"/>
    <w:rsid w:val="00C40DC8"/>
    <w:rsid w:val="00C90396"/>
    <w:rsid w:val="00C90A2B"/>
    <w:rsid w:val="00C92C88"/>
    <w:rsid w:val="00CA379D"/>
    <w:rsid w:val="00CB6346"/>
    <w:rsid w:val="00CE3746"/>
    <w:rsid w:val="00D1602F"/>
    <w:rsid w:val="00D16650"/>
    <w:rsid w:val="00D26CF4"/>
    <w:rsid w:val="00D32B9F"/>
    <w:rsid w:val="00D41673"/>
    <w:rsid w:val="00D43613"/>
    <w:rsid w:val="00D87779"/>
    <w:rsid w:val="00DC09A5"/>
    <w:rsid w:val="00DE1740"/>
    <w:rsid w:val="00DE751E"/>
    <w:rsid w:val="00DE76AF"/>
    <w:rsid w:val="00DF44D7"/>
    <w:rsid w:val="00DF7471"/>
    <w:rsid w:val="00DF785F"/>
    <w:rsid w:val="00E30C0B"/>
    <w:rsid w:val="00E47385"/>
    <w:rsid w:val="00E61860"/>
    <w:rsid w:val="00EA0CB1"/>
    <w:rsid w:val="00EA6318"/>
    <w:rsid w:val="00F208E4"/>
    <w:rsid w:val="00F245FC"/>
    <w:rsid w:val="00F41995"/>
    <w:rsid w:val="00F50936"/>
    <w:rsid w:val="00FA1698"/>
    <w:rsid w:val="00FE1421"/>
    <w:rsid w:val="015A503C"/>
    <w:rsid w:val="020B7C32"/>
    <w:rsid w:val="031A53CE"/>
    <w:rsid w:val="037E5445"/>
    <w:rsid w:val="041F31A0"/>
    <w:rsid w:val="04290275"/>
    <w:rsid w:val="051C3952"/>
    <w:rsid w:val="060E6854"/>
    <w:rsid w:val="08022CB7"/>
    <w:rsid w:val="081C72B5"/>
    <w:rsid w:val="08315941"/>
    <w:rsid w:val="08BE7794"/>
    <w:rsid w:val="09742F77"/>
    <w:rsid w:val="0B454432"/>
    <w:rsid w:val="0E287932"/>
    <w:rsid w:val="0F0D22E6"/>
    <w:rsid w:val="0F3859B4"/>
    <w:rsid w:val="0FA60A24"/>
    <w:rsid w:val="1000137E"/>
    <w:rsid w:val="10801AEA"/>
    <w:rsid w:val="10C637CC"/>
    <w:rsid w:val="12873F66"/>
    <w:rsid w:val="12E4779C"/>
    <w:rsid w:val="1470247B"/>
    <w:rsid w:val="15144E4A"/>
    <w:rsid w:val="16FA19BF"/>
    <w:rsid w:val="17F601E6"/>
    <w:rsid w:val="185375CA"/>
    <w:rsid w:val="18C86816"/>
    <w:rsid w:val="1904573C"/>
    <w:rsid w:val="199A3579"/>
    <w:rsid w:val="1AA97435"/>
    <w:rsid w:val="1B074ECD"/>
    <w:rsid w:val="1B8E0508"/>
    <w:rsid w:val="1CA248B2"/>
    <w:rsid w:val="1CF54C16"/>
    <w:rsid w:val="1D9376AF"/>
    <w:rsid w:val="1E9914D0"/>
    <w:rsid w:val="1EE7142A"/>
    <w:rsid w:val="1F1B52CB"/>
    <w:rsid w:val="20176E06"/>
    <w:rsid w:val="20777D88"/>
    <w:rsid w:val="20D656DD"/>
    <w:rsid w:val="2372693D"/>
    <w:rsid w:val="243560AE"/>
    <w:rsid w:val="257879F6"/>
    <w:rsid w:val="26176F8A"/>
    <w:rsid w:val="27406D71"/>
    <w:rsid w:val="282A063F"/>
    <w:rsid w:val="2AF6245B"/>
    <w:rsid w:val="2BAB1B6A"/>
    <w:rsid w:val="2BEE12C5"/>
    <w:rsid w:val="2D7733A3"/>
    <w:rsid w:val="2DF076DC"/>
    <w:rsid w:val="2E302DF1"/>
    <w:rsid w:val="304555FB"/>
    <w:rsid w:val="30CF05B9"/>
    <w:rsid w:val="32A51B6B"/>
    <w:rsid w:val="32C83F8E"/>
    <w:rsid w:val="35CD7395"/>
    <w:rsid w:val="369117B5"/>
    <w:rsid w:val="36B66185"/>
    <w:rsid w:val="36D25D79"/>
    <w:rsid w:val="371B7473"/>
    <w:rsid w:val="372D54A2"/>
    <w:rsid w:val="396031E4"/>
    <w:rsid w:val="39E00375"/>
    <w:rsid w:val="3A542D9C"/>
    <w:rsid w:val="3ABA1EA1"/>
    <w:rsid w:val="3AF73E70"/>
    <w:rsid w:val="3B593AA2"/>
    <w:rsid w:val="3C67217E"/>
    <w:rsid w:val="3CD866FD"/>
    <w:rsid w:val="3DAF382F"/>
    <w:rsid w:val="3DEA5B5B"/>
    <w:rsid w:val="40937168"/>
    <w:rsid w:val="41C205C0"/>
    <w:rsid w:val="422B02D3"/>
    <w:rsid w:val="449A72B9"/>
    <w:rsid w:val="44F27C71"/>
    <w:rsid w:val="4715058A"/>
    <w:rsid w:val="476B2B09"/>
    <w:rsid w:val="479E6392"/>
    <w:rsid w:val="47BC040E"/>
    <w:rsid w:val="491110ED"/>
    <w:rsid w:val="49B84D51"/>
    <w:rsid w:val="4BDA4373"/>
    <w:rsid w:val="4C747878"/>
    <w:rsid w:val="4D6B1841"/>
    <w:rsid w:val="4DC6593F"/>
    <w:rsid w:val="4E20644E"/>
    <w:rsid w:val="4EBC71A8"/>
    <w:rsid w:val="4ED4636B"/>
    <w:rsid w:val="4F3C6D2B"/>
    <w:rsid w:val="4FDA5804"/>
    <w:rsid w:val="50260A3D"/>
    <w:rsid w:val="503454E1"/>
    <w:rsid w:val="50F34276"/>
    <w:rsid w:val="51261415"/>
    <w:rsid w:val="519F0EC0"/>
    <w:rsid w:val="536777EB"/>
    <w:rsid w:val="54ED3E0B"/>
    <w:rsid w:val="553601BE"/>
    <w:rsid w:val="55473020"/>
    <w:rsid w:val="55843DC0"/>
    <w:rsid w:val="56573B89"/>
    <w:rsid w:val="575A5BAF"/>
    <w:rsid w:val="57845B0D"/>
    <w:rsid w:val="57DC71A9"/>
    <w:rsid w:val="5813749E"/>
    <w:rsid w:val="583305E8"/>
    <w:rsid w:val="5A816F0C"/>
    <w:rsid w:val="5AC82A82"/>
    <w:rsid w:val="5C2E0A2B"/>
    <w:rsid w:val="5D426F94"/>
    <w:rsid w:val="5DAE73FA"/>
    <w:rsid w:val="5E0A6752"/>
    <w:rsid w:val="5E1216DF"/>
    <w:rsid w:val="5F092E8C"/>
    <w:rsid w:val="5F912DCF"/>
    <w:rsid w:val="5F923C66"/>
    <w:rsid w:val="628F7A1F"/>
    <w:rsid w:val="639C07FA"/>
    <w:rsid w:val="648D751F"/>
    <w:rsid w:val="6548162D"/>
    <w:rsid w:val="673C5D57"/>
    <w:rsid w:val="67602253"/>
    <w:rsid w:val="694D030D"/>
    <w:rsid w:val="698C156B"/>
    <w:rsid w:val="6B1E3887"/>
    <w:rsid w:val="6BA60765"/>
    <w:rsid w:val="6E66616A"/>
    <w:rsid w:val="6EB85832"/>
    <w:rsid w:val="6EF85E83"/>
    <w:rsid w:val="6F15453F"/>
    <w:rsid w:val="73C36BBB"/>
    <w:rsid w:val="76143CA7"/>
    <w:rsid w:val="76484A66"/>
    <w:rsid w:val="786071DC"/>
    <w:rsid w:val="78B34440"/>
    <w:rsid w:val="78F65BA2"/>
    <w:rsid w:val="79E36165"/>
    <w:rsid w:val="7CFD5AD8"/>
    <w:rsid w:val="7D8346DA"/>
    <w:rsid w:val="7E0B63D5"/>
    <w:rsid w:val="7E921F2E"/>
    <w:rsid w:val="7F263E2C"/>
    <w:rsid w:val="7F2843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uiPriority="99" w:name="HTML Keyboard"/>
    <w:lsdException w:uiPriority="99" w:name="HTML Preformatted"/>
    <w:lsdException w:uiPriority="99" w:name="HTML Sample"/>
    <w:lsdException w:uiPriority="99" w:name="HTML Typewriter"/>
    <w:lsdException w:qFormat="1"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Autospacing="1" w:afterAutospacing="1"/>
      <w:jc w:val="left"/>
      <w:outlineLvl w:val="0"/>
    </w:pPr>
    <w:rPr>
      <w:rFonts w:hint="eastAsia" w:ascii="宋体" w:hAnsi="宋体" w:eastAsia="宋体" w:cs="Times New Roman"/>
      <w:b/>
      <w:kern w:val="44"/>
      <w:sz w:val="48"/>
      <w:szCs w:val="48"/>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toc 3"/>
    <w:basedOn w:val="1"/>
    <w:next w:val="1"/>
    <w:semiHidden/>
    <w:unhideWhenUsed/>
    <w:qFormat/>
    <w:uiPriority w:val="39"/>
    <w:pPr>
      <w:ind w:left="840" w:leftChars="400"/>
    </w:pPr>
  </w:style>
  <w:style w:type="paragraph" w:styleId="4">
    <w:name w:val="Balloon Text"/>
    <w:basedOn w:val="1"/>
    <w:link w:val="73"/>
    <w:semiHidden/>
    <w:unhideWhenUsed/>
    <w:qFormat/>
    <w:uiPriority w:val="99"/>
    <w:rPr>
      <w:sz w:val="18"/>
      <w:szCs w:val="18"/>
    </w:rPr>
  </w:style>
  <w:style w:type="paragraph" w:styleId="5">
    <w:name w:val="footer"/>
    <w:basedOn w:val="1"/>
    <w:link w:val="23"/>
    <w:unhideWhenUsed/>
    <w:qFormat/>
    <w:uiPriority w:val="99"/>
    <w:pPr>
      <w:tabs>
        <w:tab w:val="center" w:pos="4153"/>
        <w:tab w:val="right" w:pos="8306"/>
      </w:tabs>
      <w:snapToGrid w:val="0"/>
      <w:jc w:val="left"/>
    </w:pPr>
    <w:rPr>
      <w:sz w:val="18"/>
      <w:szCs w:val="18"/>
    </w:rPr>
  </w:style>
  <w:style w:type="paragraph" w:styleId="6">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semiHidden/>
    <w:unhideWhenUsed/>
    <w:qFormat/>
    <w:uiPriority w:val="39"/>
  </w:style>
  <w:style w:type="paragraph" w:styleId="8">
    <w:name w:val="toc 2"/>
    <w:basedOn w:val="1"/>
    <w:next w:val="1"/>
    <w:semiHidden/>
    <w:unhideWhenUsed/>
    <w:qFormat/>
    <w:uiPriority w:val="39"/>
    <w:pPr>
      <w:ind w:left="420" w:leftChars="200"/>
    </w:p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22"/>
    <w:rPr>
      <w:b/>
      <w:bCs/>
    </w:rPr>
  </w:style>
  <w:style w:type="character" w:styleId="14">
    <w:name w:val="FollowedHyperlink"/>
    <w:basedOn w:val="12"/>
    <w:semiHidden/>
    <w:unhideWhenUsed/>
    <w:qFormat/>
    <w:uiPriority w:val="99"/>
    <w:rPr>
      <w:color w:val="800080"/>
      <w:u w:val="single"/>
    </w:rPr>
  </w:style>
  <w:style w:type="character" w:styleId="15">
    <w:name w:val="Emphasis"/>
    <w:basedOn w:val="12"/>
    <w:qFormat/>
    <w:uiPriority w:val="20"/>
  </w:style>
  <w:style w:type="character" w:styleId="16">
    <w:name w:val="HTML Definition"/>
    <w:basedOn w:val="12"/>
    <w:semiHidden/>
    <w:unhideWhenUsed/>
    <w:qFormat/>
    <w:uiPriority w:val="99"/>
  </w:style>
  <w:style w:type="character" w:styleId="17">
    <w:name w:val="HTML Acronym"/>
    <w:basedOn w:val="12"/>
    <w:semiHidden/>
    <w:unhideWhenUsed/>
    <w:qFormat/>
    <w:uiPriority w:val="99"/>
  </w:style>
  <w:style w:type="character" w:styleId="18">
    <w:name w:val="HTML Variable"/>
    <w:basedOn w:val="12"/>
    <w:semiHidden/>
    <w:unhideWhenUsed/>
    <w:qFormat/>
    <w:uiPriority w:val="99"/>
  </w:style>
  <w:style w:type="character" w:styleId="19">
    <w:name w:val="Hyperlink"/>
    <w:basedOn w:val="12"/>
    <w:semiHidden/>
    <w:unhideWhenUsed/>
    <w:qFormat/>
    <w:uiPriority w:val="99"/>
    <w:rPr>
      <w:color w:val="0000FF"/>
      <w:u w:val="single"/>
    </w:rPr>
  </w:style>
  <w:style w:type="character" w:styleId="20">
    <w:name w:val="HTML Code"/>
    <w:basedOn w:val="12"/>
    <w:semiHidden/>
    <w:unhideWhenUsed/>
    <w:qFormat/>
    <w:uiPriority w:val="99"/>
    <w:rPr>
      <w:rFonts w:ascii="Courier New" w:hAnsi="Courier New"/>
      <w:sz w:val="20"/>
    </w:rPr>
  </w:style>
  <w:style w:type="character" w:styleId="21">
    <w:name w:val="HTML Cite"/>
    <w:basedOn w:val="12"/>
    <w:semiHidden/>
    <w:unhideWhenUsed/>
    <w:qFormat/>
    <w:uiPriority w:val="99"/>
  </w:style>
  <w:style w:type="character" w:customStyle="1" w:styleId="22">
    <w:name w:val="页眉 字符"/>
    <w:basedOn w:val="12"/>
    <w:link w:val="6"/>
    <w:qFormat/>
    <w:uiPriority w:val="99"/>
    <w:rPr>
      <w:sz w:val="18"/>
      <w:szCs w:val="18"/>
    </w:rPr>
  </w:style>
  <w:style w:type="character" w:customStyle="1" w:styleId="23">
    <w:name w:val="页脚 字符"/>
    <w:basedOn w:val="12"/>
    <w:link w:val="5"/>
    <w:qFormat/>
    <w:uiPriority w:val="99"/>
    <w:rPr>
      <w:sz w:val="18"/>
      <w:szCs w:val="18"/>
    </w:rPr>
  </w:style>
  <w:style w:type="paragraph" w:styleId="24">
    <w:name w:val="List Paragraph"/>
    <w:basedOn w:val="1"/>
    <w:qFormat/>
    <w:uiPriority w:val="34"/>
    <w:pPr>
      <w:ind w:firstLine="420" w:firstLineChars="200"/>
    </w:pPr>
  </w:style>
  <w:style w:type="character" w:customStyle="1" w:styleId="25">
    <w:name w:val="bjh-strong"/>
    <w:basedOn w:val="12"/>
    <w:qFormat/>
    <w:uiPriority w:val="0"/>
  </w:style>
  <w:style w:type="character" w:customStyle="1" w:styleId="26">
    <w:name w:val="bjh-p"/>
    <w:basedOn w:val="12"/>
    <w:qFormat/>
    <w:uiPriority w:val="0"/>
  </w:style>
  <w:style w:type="paragraph" w:customStyle="1" w:styleId="27">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
    <w:name w:val="font0"/>
    <w:basedOn w:val="1"/>
    <w:qFormat/>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29">
    <w:name w:val="font1"/>
    <w:basedOn w:val="1"/>
    <w:qFormat/>
    <w:uiPriority w:val="0"/>
    <w:pPr>
      <w:widowControl/>
      <w:spacing w:before="100" w:beforeAutospacing="1" w:after="100" w:afterAutospacing="1"/>
      <w:jc w:val="left"/>
    </w:pPr>
    <w:rPr>
      <w:rFonts w:ascii="微软雅黑" w:hAnsi="微软雅黑" w:eastAsia="微软雅黑" w:cs="宋体"/>
      <w:color w:val="000000"/>
      <w:kern w:val="0"/>
      <w:sz w:val="18"/>
      <w:szCs w:val="18"/>
    </w:rPr>
  </w:style>
  <w:style w:type="paragraph" w:customStyle="1" w:styleId="30">
    <w:name w:val="font2"/>
    <w:basedOn w:val="1"/>
    <w:qFormat/>
    <w:uiPriority w:val="0"/>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31">
    <w:name w:val="font3"/>
    <w:basedOn w:val="1"/>
    <w:qFormat/>
    <w:uiPriority w:val="0"/>
    <w:pPr>
      <w:widowControl/>
      <w:spacing w:before="100" w:beforeAutospacing="1" w:after="100" w:afterAutospacing="1"/>
      <w:jc w:val="left"/>
    </w:pPr>
    <w:rPr>
      <w:rFonts w:ascii="宋体" w:hAnsi="宋体" w:eastAsia="宋体" w:cs="宋体"/>
      <w:color w:val="C00000"/>
      <w:kern w:val="0"/>
      <w:sz w:val="20"/>
      <w:szCs w:val="20"/>
    </w:rPr>
  </w:style>
  <w:style w:type="paragraph" w:customStyle="1" w:styleId="32">
    <w:name w:val="font4"/>
    <w:basedOn w:val="1"/>
    <w:qFormat/>
    <w:uiPriority w:val="0"/>
    <w:pPr>
      <w:widowControl/>
      <w:spacing w:before="100" w:beforeAutospacing="1" w:after="100" w:afterAutospacing="1"/>
      <w:jc w:val="left"/>
    </w:pPr>
    <w:rPr>
      <w:rFonts w:ascii="宋体" w:hAnsi="宋体" w:eastAsia="宋体" w:cs="宋体"/>
      <w:b/>
      <w:bCs/>
      <w:color w:val="000000"/>
      <w:kern w:val="0"/>
      <w:sz w:val="20"/>
      <w:szCs w:val="20"/>
    </w:rPr>
  </w:style>
  <w:style w:type="paragraph" w:customStyle="1" w:styleId="33">
    <w:name w:val="font5"/>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34">
    <w:name w:val="et2"/>
    <w:basedOn w:val="1"/>
    <w:qFormat/>
    <w:uiPriority w:val="0"/>
    <w:pPr>
      <w:widowControl/>
      <w:spacing w:before="100" w:beforeAutospacing="1" w:after="100" w:afterAutospacing="1"/>
      <w:jc w:val="center"/>
      <w:textAlignment w:val="center"/>
    </w:pPr>
    <w:rPr>
      <w:rFonts w:ascii="宋体" w:hAnsi="宋体" w:eastAsia="宋体" w:cs="宋体"/>
      <w:kern w:val="0"/>
      <w:sz w:val="20"/>
      <w:szCs w:val="20"/>
    </w:rPr>
  </w:style>
  <w:style w:type="paragraph" w:customStyle="1" w:styleId="35">
    <w:name w:val="et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36">
    <w:name w:val="et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7">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8">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eastAsia="宋体" w:cs="宋体"/>
      <w:color w:val="C00000"/>
      <w:kern w:val="0"/>
      <w:sz w:val="20"/>
      <w:szCs w:val="20"/>
    </w:rPr>
  </w:style>
  <w:style w:type="paragraph" w:customStyle="1" w:styleId="39">
    <w:name w:val="et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eastAsia="宋体" w:cs="宋体"/>
      <w:color w:val="000000"/>
      <w:kern w:val="0"/>
      <w:sz w:val="18"/>
      <w:szCs w:val="18"/>
    </w:rPr>
  </w:style>
  <w:style w:type="paragraph" w:customStyle="1" w:styleId="40">
    <w:name w:val="et1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微软雅黑" w:hAnsi="微软雅黑" w:eastAsia="微软雅黑" w:cs="宋体"/>
      <w:color w:val="000000"/>
      <w:kern w:val="0"/>
      <w:sz w:val="18"/>
      <w:szCs w:val="18"/>
    </w:rPr>
  </w:style>
  <w:style w:type="paragraph" w:customStyle="1" w:styleId="41">
    <w:name w:val="et12"/>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42">
    <w:name w:val="et13"/>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43">
    <w:name w:val="et1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eastAsia="宋体" w:cs="宋体"/>
      <w:color w:val="C00000"/>
      <w:kern w:val="0"/>
      <w:sz w:val="20"/>
      <w:szCs w:val="20"/>
    </w:rPr>
  </w:style>
  <w:style w:type="paragraph" w:customStyle="1" w:styleId="44">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45">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46">
    <w:name w:val="et1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47">
    <w:name w:val="et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微软雅黑" w:hAnsi="微软雅黑" w:eastAsia="微软雅黑" w:cs="宋体"/>
      <w:color w:val="000000"/>
      <w:kern w:val="0"/>
      <w:sz w:val="18"/>
      <w:szCs w:val="18"/>
    </w:rPr>
  </w:style>
  <w:style w:type="paragraph" w:customStyle="1" w:styleId="48">
    <w:name w:val="et11"/>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49">
    <w:name w:val="et15"/>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eastAsia="宋体" w:cs="宋体"/>
      <w:color w:val="C00000"/>
      <w:kern w:val="0"/>
      <w:sz w:val="20"/>
      <w:szCs w:val="20"/>
    </w:rPr>
  </w:style>
  <w:style w:type="paragraph" w:customStyle="1" w:styleId="50">
    <w:name w:val="et17"/>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微软雅黑" w:hAnsi="微软雅黑" w:eastAsia="微软雅黑" w:cs="宋体"/>
      <w:color w:val="000000"/>
      <w:kern w:val="0"/>
      <w:sz w:val="18"/>
      <w:szCs w:val="18"/>
    </w:rPr>
  </w:style>
  <w:style w:type="paragraph" w:customStyle="1" w:styleId="51">
    <w:name w:val="et2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eastAsia="宋体" w:cs="宋体"/>
      <w:color w:val="C00000"/>
      <w:kern w:val="0"/>
      <w:sz w:val="20"/>
      <w:szCs w:val="20"/>
    </w:rPr>
  </w:style>
  <w:style w:type="paragraph" w:customStyle="1" w:styleId="52">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53">
    <w:name w:val="et2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54">
    <w:name w:val="font6"/>
    <w:basedOn w:val="1"/>
    <w:uiPriority w:val="0"/>
    <w:pPr>
      <w:widowControl/>
      <w:spacing w:before="100" w:beforeAutospacing="1" w:after="100" w:afterAutospacing="1"/>
      <w:jc w:val="left"/>
    </w:pPr>
    <w:rPr>
      <w:rFonts w:ascii="宋体" w:hAnsi="宋体" w:eastAsia="宋体" w:cs="宋体"/>
      <w:b/>
      <w:bCs/>
      <w:color w:val="000000"/>
      <w:kern w:val="0"/>
      <w:sz w:val="12"/>
      <w:szCs w:val="12"/>
    </w:rPr>
  </w:style>
  <w:style w:type="paragraph" w:customStyle="1" w:styleId="55">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eastAsia="宋体" w:cs="宋体"/>
      <w:kern w:val="0"/>
      <w:sz w:val="12"/>
      <w:szCs w:val="12"/>
    </w:rPr>
  </w:style>
  <w:style w:type="paragraph" w:customStyle="1" w:styleId="56">
    <w:name w:val="et2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微软雅黑" w:hAnsi="微软雅黑" w:eastAsia="微软雅黑" w:cs="宋体"/>
      <w:color w:val="000000"/>
      <w:kern w:val="0"/>
      <w:sz w:val="12"/>
      <w:szCs w:val="12"/>
    </w:rPr>
  </w:style>
  <w:style w:type="paragraph" w:customStyle="1" w:styleId="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eastAsia="宋体" w:cs="宋体"/>
      <w:kern w:val="0"/>
      <w:sz w:val="12"/>
      <w:szCs w:val="12"/>
    </w:rPr>
  </w:style>
  <w:style w:type="paragraph" w:customStyle="1" w:styleId="58">
    <w:name w:val="et2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eastAsia="宋体" w:cs="宋体"/>
      <w:kern w:val="0"/>
      <w:sz w:val="12"/>
      <w:szCs w:val="12"/>
    </w:rPr>
  </w:style>
  <w:style w:type="paragraph" w:customStyle="1" w:styleId="59">
    <w:name w:val="xl65"/>
    <w:basedOn w:val="1"/>
    <w:qFormat/>
    <w:uiPriority w:val="0"/>
    <w:pPr>
      <w:widowControl/>
      <w:spacing w:before="100" w:beforeAutospacing="1" w:after="100" w:afterAutospacing="1"/>
      <w:jc w:val="center"/>
      <w:textAlignment w:val="center"/>
    </w:pPr>
    <w:rPr>
      <w:rFonts w:ascii="宋体" w:hAnsi="宋体" w:eastAsia="宋体" w:cs="宋体"/>
      <w:kern w:val="0"/>
      <w:sz w:val="20"/>
      <w:szCs w:val="20"/>
    </w:rPr>
  </w:style>
  <w:style w:type="paragraph" w:customStyle="1" w:styleId="60">
    <w:name w:val="xl66"/>
    <w:basedOn w:val="1"/>
    <w:qFormat/>
    <w:uiPriority w:val="0"/>
    <w:pPr>
      <w:widowControl/>
      <w:spacing w:before="100" w:beforeAutospacing="1" w:after="100" w:afterAutospacing="1"/>
      <w:jc w:val="center"/>
      <w:textAlignment w:val="center"/>
    </w:pPr>
    <w:rPr>
      <w:rFonts w:ascii="宋体" w:hAnsi="宋体" w:eastAsia="宋体" w:cs="宋体"/>
      <w:kern w:val="0"/>
      <w:sz w:val="12"/>
      <w:szCs w:val="12"/>
    </w:rPr>
  </w:style>
  <w:style w:type="paragraph" w:customStyle="1" w:styleId="61">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2"/>
      <w:szCs w:val="12"/>
    </w:rPr>
  </w:style>
  <w:style w:type="paragraph" w:customStyle="1" w:styleId="62">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12"/>
      <w:szCs w:val="12"/>
    </w:rPr>
  </w:style>
  <w:style w:type="paragraph" w:customStyle="1" w:styleId="63">
    <w:name w:val="xl6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eastAsia="宋体" w:cs="宋体"/>
      <w:b/>
      <w:bCs/>
      <w:kern w:val="0"/>
      <w:sz w:val="12"/>
      <w:szCs w:val="12"/>
    </w:rPr>
  </w:style>
  <w:style w:type="paragraph" w:customStyle="1" w:styleId="64">
    <w:name w:val="xl7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12"/>
      <w:szCs w:val="12"/>
    </w:rPr>
  </w:style>
  <w:style w:type="paragraph" w:customStyle="1" w:styleId="65">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2"/>
      <w:szCs w:val="12"/>
    </w:rPr>
  </w:style>
  <w:style w:type="paragraph" w:customStyle="1" w:styleId="66">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C00000"/>
      <w:kern w:val="0"/>
      <w:sz w:val="12"/>
      <w:szCs w:val="12"/>
    </w:rPr>
  </w:style>
  <w:style w:type="paragraph" w:customStyle="1" w:styleId="67">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color w:val="000000"/>
      <w:kern w:val="0"/>
      <w:sz w:val="12"/>
      <w:szCs w:val="12"/>
    </w:rPr>
  </w:style>
  <w:style w:type="paragraph" w:customStyle="1" w:styleId="68">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color w:val="000000"/>
      <w:kern w:val="0"/>
      <w:sz w:val="12"/>
      <w:szCs w:val="12"/>
    </w:rPr>
  </w:style>
  <w:style w:type="paragraph" w:customStyle="1" w:styleId="69">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C00000"/>
      <w:kern w:val="0"/>
      <w:sz w:val="12"/>
      <w:szCs w:val="12"/>
    </w:rPr>
  </w:style>
  <w:style w:type="character" w:customStyle="1" w:styleId="70">
    <w:name w:val="mathjax_mathml"/>
    <w:basedOn w:val="12"/>
    <w:qFormat/>
    <w:uiPriority w:val="0"/>
    <w:rPr>
      <w:spacing w:val="0"/>
      <w:sz w:val="24"/>
      <w:szCs w:val="24"/>
    </w:rPr>
  </w:style>
  <w:style w:type="character" w:customStyle="1" w:styleId="71">
    <w:name w:val="first-child"/>
    <w:basedOn w:val="12"/>
    <w:qFormat/>
    <w:uiPriority w:val="0"/>
  </w:style>
  <w:style w:type="character" w:customStyle="1" w:styleId="72">
    <w:name w:val="layui-this"/>
    <w:basedOn w:val="12"/>
    <w:qFormat/>
    <w:uiPriority w:val="0"/>
    <w:rPr>
      <w:bdr w:val="single" w:color="EEEEEE" w:sz="6" w:space="0"/>
      <w:shd w:val="clear" w:color="auto" w:fill="FFFFFF"/>
    </w:rPr>
  </w:style>
  <w:style w:type="character" w:customStyle="1" w:styleId="73">
    <w:name w:val="批注框文本 字符"/>
    <w:basedOn w:val="12"/>
    <w:link w:val="4"/>
    <w:semiHidden/>
    <w:uiPriority w:val="99"/>
    <w:rPr>
      <w:rFonts w:asciiTheme="minorHAnsi" w:hAnsiTheme="minorHAnsi" w:eastAsiaTheme="minorEastAsia" w:cstheme="minorBidi"/>
      <w:kern w:val="2"/>
      <w:sz w:val="18"/>
      <w:szCs w:val="18"/>
    </w:rPr>
  </w:style>
  <w:style w:type="paragraph" w:customStyle="1" w:styleId="74">
    <w:name w:val="calisxb"/>
    <w:basedOn w:val="1"/>
    <w:qFormat/>
    <w:uiPriority w:val="0"/>
    <w:pPr>
      <w:spacing w:line="312" w:lineRule="auto"/>
    </w:pPr>
    <w:rPr>
      <w:rFonts w:ascii="宋体"/>
      <w:bCs/>
    </w:rPr>
  </w:style>
  <w:style w:type="paragraph" w:customStyle="1" w:styleId="75">
    <w:name w:val="WPSOffice手动目录 1"/>
    <w:uiPriority w:val="0"/>
    <w:rPr>
      <w:rFonts w:ascii="Times New Roman" w:hAnsi="Times New Roman" w:eastAsia="宋体" w:cs="Times New Roman"/>
      <w:lang w:val="en-US" w:eastAsia="zh-CN" w:bidi="ar-SA"/>
    </w:rPr>
  </w:style>
  <w:style w:type="paragraph" w:customStyle="1" w:styleId="76">
    <w:name w:val="WPSOffice手动目录 2"/>
    <w:uiPriority w:val="0"/>
    <w:pPr>
      <w:ind w:left="200" w:leftChars="200"/>
    </w:pPr>
    <w:rPr>
      <w:rFonts w:ascii="Times New Roman" w:hAnsi="Times New Roman" w:eastAsia="宋体" w:cs="Times New Roman"/>
      <w:lang w:val="en-US" w:eastAsia="zh-CN" w:bidi="ar-SA"/>
    </w:rPr>
  </w:style>
  <w:style w:type="paragraph" w:customStyle="1" w:styleId="77">
    <w:name w:val="WPSOffice手动目录 3"/>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diagramColors" Target="diagrams/colors1.xml"/><Relationship Id="rId28" Type="http://schemas.openxmlformats.org/officeDocument/2006/relationships/diagramQuickStyle" Target="diagrams/quickStyle1.xml"/><Relationship Id="rId27" Type="http://schemas.openxmlformats.org/officeDocument/2006/relationships/diagramLayout" Target="diagrams/layout1.xml"/><Relationship Id="rId26" Type="http://schemas.openxmlformats.org/officeDocument/2006/relationships/diagramData" Target="diagrams/data1.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7271AD3F-D8DD-4A2F-A860-A8CAC430F91F}" type="doc">
      <dgm:prSet loTypeId="urn:microsoft.com/office/officeart/2005/8/layout/radial3" loCatId="relationship" qsTypeId="urn:microsoft.com/office/officeart/2005/8/quickstyle/simple1#1" qsCatId="simple" csTypeId="urn:microsoft.com/office/officeart/2005/8/colors/accent1_2#1" csCatId="accent1" phldr="1"/>
      <dgm:spPr/>
      <dgm:t>
        <a:bodyPr/>
        <a:p>
          <a:endParaRPr lang="zh-CN" altLang="en-US"/>
        </a:p>
      </dgm:t>
    </dgm:pt>
    <dgm:pt modelId="{770C46DB-0418-495D-9E16-9A1C5D5D09CC}">
      <dgm:prSet phldrT="[文本]" phldr="0" custT="0"/>
      <dgm:spPr/>
      <dgm:t>
        <a:bodyPr vert="horz" wrap="square"/>
        <a:p>
          <a:pPr algn="ctr">
            <a:lnSpc>
              <a:spcPct val="100000"/>
            </a:lnSpc>
            <a:spcBef>
              <a:spcPct val="0"/>
            </a:spcBef>
            <a:spcAft>
              <a:spcPct val="35000"/>
            </a:spcAft>
          </a:pPr>
          <a:r>
            <a:rPr lang="zh-CN" altLang="en-US"/>
            <a:t>团队</a:t>
          </a:r>
          <a:endParaRPr/>
        </a:p>
      </dgm:t>
    </dgm:pt>
    <dgm:pt modelId="{BA199096-87C1-4AF6-9210-DF9CD463817A}" cxnId="{E3BA1DC5-0B17-4629-AD04-6E103E23C07C}" type="parTrans">
      <dgm:prSet/>
      <dgm:spPr/>
      <dgm:t>
        <a:bodyPr/>
        <a:p>
          <a:endParaRPr lang="zh-CN" altLang="en-US"/>
        </a:p>
      </dgm:t>
    </dgm:pt>
    <dgm:pt modelId="{F8867154-A791-415D-993B-62324705D3BB}" cxnId="{E3BA1DC5-0B17-4629-AD04-6E103E23C07C}" type="sibTrans">
      <dgm:prSet/>
      <dgm:spPr/>
      <dgm:t>
        <a:bodyPr/>
        <a:p>
          <a:endParaRPr lang="zh-CN" altLang="en-US"/>
        </a:p>
      </dgm:t>
    </dgm:pt>
    <dgm:pt modelId="{8BA62D8B-124D-49F5-8798-84B7E1381890}">
      <dgm:prSet phldrT="[文本]"/>
      <dgm:spPr/>
      <dgm:t>
        <a:bodyPr/>
        <a:p>
          <a:r>
            <a:rPr lang="zh-CN" altLang="en-US" b="1"/>
            <a:t>目标</a:t>
          </a:r>
        </a:p>
      </dgm:t>
    </dgm:pt>
    <dgm:pt modelId="{B59568AC-315D-45BF-A830-D31603D55D5C}" cxnId="{C3F6CB7A-E98F-4FD0-AA25-8750591D6F97}" type="parTrans">
      <dgm:prSet/>
      <dgm:spPr/>
      <dgm:t>
        <a:bodyPr/>
        <a:p>
          <a:endParaRPr lang="zh-CN" altLang="en-US"/>
        </a:p>
      </dgm:t>
    </dgm:pt>
    <dgm:pt modelId="{5A371BA8-BC82-4070-B1E6-7DFA531E9975}" cxnId="{C3F6CB7A-E98F-4FD0-AA25-8750591D6F97}" type="sibTrans">
      <dgm:prSet/>
      <dgm:spPr/>
      <dgm:t>
        <a:bodyPr/>
        <a:p>
          <a:endParaRPr lang="zh-CN" altLang="en-US"/>
        </a:p>
      </dgm:t>
    </dgm:pt>
    <dgm:pt modelId="{FCE92F2C-037A-4AA8-8592-F1FD73BFE587}">
      <dgm:prSet phldrT="[文本]"/>
      <dgm:spPr/>
      <dgm:t>
        <a:bodyPr/>
        <a:p>
          <a:r>
            <a:rPr lang="zh-CN" altLang="en-US" b="1"/>
            <a:t>技能</a:t>
          </a:r>
        </a:p>
      </dgm:t>
    </dgm:pt>
    <dgm:pt modelId="{E0F3EE2A-CB24-4DC6-BBD2-45D5B3738FA1}" cxnId="{9229BA77-5CA0-468C-97D7-A60180AFF2EF}" type="parTrans">
      <dgm:prSet/>
      <dgm:spPr/>
      <dgm:t>
        <a:bodyPr/>
        <a:p>
          <a:endParaRPr lang="zh-CN" altLang="en-US"/>
        </a:p>
      </dgm:t>
    </dgm:pt>
    <dgm:pt modelId="{5DE4EDD4-1907-4C0D-83D3-9E4A0C354670}" cxnId="{9229BA77-5CA0-468C-97D7-A60180AFF2EF}" type="sibTrans">
      <dgm:prSet/>
      <dgm:spPr/>
      <dgm:t>
        <a:bodyPr/>
        <a:p>
          <a:endParaRPr lang="zh-CN" altLang="en-US"/>
        </a:p>
      </dgm:t>
    </dgm:pt>
    <dgm:pt modelId="{8A8EDD0B-C19B-49AA-93CC-3CA5353EAC32}">
      <dgm:prSet phldrT="[文本]"/>
      <dgm:spPr/>
      <dgm:t>
        <a:bodyPr/>
        <a:p>
          <a:r>
            <a:rPr lang="zh-CN" altLang="en-US" b="1"/>
            <a:t>协作</a:t>
          </a:r>
        </a:p>
      </dgm:t>
    </dgm:pt>
    <dgm:pt modelId="{10C16FA7-F6D8-483E-8F3A-788948E5D396}" cxnId="{603B68E2-D998-4389-99B6-94BBA5171BD0}" type="parTrans">
      <dgm:prSet/>
      <dgm:spPr/>
      <dgm:t>
        <a:bodyPr/>
        <a:p>
          <a:endParaRPr lang="zh-CN" altLang="en-US"/>
        </a:p>
      </dgm:t>
    </dgm:pt>
    <dgm:pt modelId="{D13AE92B-4F67-479C-9524-2B7A76ACDCA4}" cxnId="{603B68E2-D998-4389-99B6-94BBA5171BD0}" type="sibTrans">
      <dgm:prSet/>
      <dgm:spPr/>
      <dgm:t>
        <a:bodyPr/>
        <a:p>
          <a:endParaRPr lang="zh-CN" altLang="en-US"/>
        </a:p>
      </dgm:t>
    </dgm:pt>
    <dgm:pt modelId="{ACC0A61B-A552-454B-9BB8-BB475372D53F}">
      <dgm:prSet phldrT="[文本]"/>
      <dgm:spPr/>
      <dgm:t>
        <a:bodyPr/>
        <a:p>
          <a:r>
            <a:rPr lang="zh-CN" altLang="en-US" b="1"/>
            <a:t>责任</a:t>
          </a:r>
        </a:p>
      </dgm:t>
    </dgm:pt>
    <dgm:pt modelId="{DD1325B7-3B55-4521-93D0-85D003957FAE}" cxnId="{F063FC36-C624-48BC-AEF7-B5D365FF4D4D}" type="parTrans">
      <dgm:prSet/>
      <dgm:spPr/>
      <dgm:t>
        <a:bodyPr/>
        <a:p>
          <a:endParaRPr lang="zh-CN" altLang="en-US"/>
        </a:p>
      </dgm:t>
    </dgm:pt>
    <dgm:pt modelId="{E2E698DF-B190-4CCB-B49E-DDD79C7B8EF7}" cxnId="{F063FC36-C624-48BC-AEF7-B5D365FF4D4D}" type="sibTrans">
      <dgm:prSet/>
      <dgm:spPr/>
      <dgm:t>
        <a:bodyPr/>
        <a:p>
          <a:endParaRPr lang="zh-CN" altLang="en-US"/>
        </a:p>
      </dgm:t>
    </dgm:pt>
    <dgm:pt modelId="{B62982CD-7FA3-4285-910C-1F4C95A6F6E4}" type="pres">
      <dgm:prSet presAssocID="{7271AD3F-D8DD-4A2F-A860-A8CAC430F91F}" presName="composite" presStyleCnt="0">
        <dgm:presLayoutVars>
          <dgm:chMax val="1"/>
          <dgm:dir/>
          <dgm:resizeHandles val="exact"/>
        </dgm:presLayoutVars>
      </dgm:prSet>
      <dgm:spPr/>
    </dgm:pt>
    <dgm:pt modelId="{914D4368-204C-41F8-AF61-F9E9E4694108}" type="pres">
      <dgm:prSet presAssocID="{7271AD3F-D8DD-4A2F-A860-A8CAC430F91F}" presName="radial" presStyleCnt="0">
        <dgm:presLayoutVars>
          <dgm:animLvl val="ctr"/>
        </dgm:presLayoutVars>
      </dgm:prSet>
      <dgm:spPr/>
    </dgm:pt>
    <dgm:pt modelId="{00E13939-4825-46E4-8FB7-055F77DC0DE0}" type="pres">
      <dgm:prSet presAssocID="{770C46DB-0418-495D-9E16-9A1C5D5D09CC}" presName="centerShape" presStyleLbl="vennNode1" presStyleIdx="0" presStyleCnt="5" custLinFactNeighborX="1007"/>
      <dgm:spPr/>
    </dgm:pt>
    <dgm:pt modelId="{BD4F65D6-6C4F-463A-B4BB-0C2CD79A44F3}" type="pres">
      <dgm:prSet presAssocID="{8BA62D8B-124D-49F5-8798-84B7E1381890}" presName="node" presStyleLbl="vennNode1" presStyleIdx="1" presStyleCnt="5" custRadScaleRad="88950" custRadScaleInc="1441">
        <dgm:presLayoutVars>
          <dgm:bulletEnabled val="1"/>
        </dgm:presLayoutVars>
      </dgm:prSet>
      <dgm:spPr/>
    </dgm:pt>
    <dgm:pt modelId="{80E6BE6E-D350-4DCF-AA92-0322BBFB9003}" type="pres">
      <dgm:prSet presAssocID="{FCE92F2C-037A-4AA8-8592-F1FD73BFE587}" presName="node" presStyleLbl="vennNode1" presStyleIdx="2" presStyleCnt="5" custRadScaleRad="88927" custRadScaleInc="0">
        <dgm:presLayoutVars>
          <dgm:bulletEnabled val="1"/>
        </dgm:presLayoutVars>
      </dgm:prSet>
      <dgm:spPr/>
    </dgm:pt>
    <dgm:pt modelId="{E166F9FA-5676-4957-81EF-31632461D060}" type="pres">
      <dgm:prSet presAssocID="{8A8EDD0B-C19B-49AA-93CC-3CA5353EAC32}" presName="node" presStyleLbl="vennNode1" presStyleIdx="3" presStyleCnt="5" custRadScaleRad="88949" custRadScaleInc="-1441">
        <dgm:presLayoutVars>
          <dgm:bulletEnabled val="1"/>
        </dgm:presLayoutVars>
      </dgm:prSet>
      <dgm:spPr/>
    </dgm:pt>
    <dgm:pt modelId="{A481F378-8C61-4E3E-9DB7-0775A74A46E6}" type="pres">
      <dgm:prSet presAssocID="{ACC0A61B-A552-454B-9BB8-BB475372D53F}" presName="node" presStyleLbl="vennNode1" presStyleIdx="4" presStyleCnt="5" custRadScaleRad="84900" custRadScaleInc="0">
        <dgm:presLayoutVars>
          <dgm:bulletEnabled val="1"/>
        </dgm:presLayoutVars>
      </dgm:prSet>
      <dgm:spPr/>
    </dgm:pt>
  </dgm:ptLst>
  <dgm:cxnLst>
    <dgm:cxn modelId="{64B39532-71E2-469D-A04D-D04AB9593100}" type="presOf" srcId="{8A8EDD0B-C19B-49AA-93CC-3CA5353EAC32}" destId="{E166F9FA-5676-4957-81EF-31632461D060}" srcOrd="0" destOrd="0" presId="urn:microsoft.com/office/officeart/2005/8/layout/radial3"/>
    <dgm:cxn modelId="{EFADF232-140F-4B6C-AA72-8367BF03F6B0}" type="presOf" srcId="{FCE92F2C-037A-4AA8-8592-F1FD73BFE587}" destId="{80E6BE6E-D350-4DCF-AA92-0322BBFB9003}" srcOrd="0" destOrd="0" presId="urn:microsoft.com/office/officeart/2005/8/layout/radial3"/>
    <dgm:cxn modelId="{F063FC36-C624-48BC-AEF7-B5D365FF4D4D}" srcId="{770C46DB-0418-495D-9E16-9A1C5D5D09CC}" destId="{ACC0A61B-A552-454B-9BB8-BB475372D53F}" srcOrd="3" destOrd="0" parTransId="{DD1325B7-3B55-4521-93D0-85D003957FAE}" sibTransId="{E2E698DF-B190-4CCB-B49E-DDD79C7B8EF7}"/>
    <dgm:cxn modelId="{3984685E-B3AE-4BE5-996A-7188302D5625}" type="presOf" srcId="{770C46DB-0418-495D-9E16-9A1C5D5D09CC}" destId="{00E13939-4825-46E4-8FB7-055F77DC0DE0}" srcOrd="0" destOrd="0" presId="urn:microsoft.com/office/officeart/2005/8/layout/radial3"/>
    <dgm:cxn modelId="{4EAF3F49-41D9-4D41-BD63-16CB0FF92BA2}" type="presOf" srcId="{7271AD3F-D8DD-4A2F-A860-A8CAC430F91F}" destId="{B62982CD-7FA3-4285-910C-1F4C95A6F6E4}" srcOrd="0" destOrd="0" presId="urn:microsoft.com/office/officeart/2005/8/layout/radial3"/>
    <dgm:cxn modelId="{9229BA77-5CA0-468C-97D7-A60180AFF2EF}" srcId="{770C46DB-0418-495D-9E16-9A1C5D5D09CC}" destId="{FCE92F2C-037A-4AA8-8592-F1FD73BFE587}" srcOrd="1" destOrd="0" parTransId="{E0F3EE2A-CB24-4DC6-BBD2-45D5B3738FA1}" sibTransId="{5DE4EDD4-1907-4C0D-83D3-9E4A0C354670}"/>
    <dgm:cxn modelId="{C3F6CB7A-E98F-4FD0-AA25-8750591D6F97}" srcId="{770C46DB-0418-495D-9E16-9A1C5D5D09CC}" destId="{8BA62D8B-124D-49F5-8798-84B7E1381890}" srcOrd="0" destOrd="0" parTransId="{B59568AC-315D-45BF-A830-D31603D55D5C}" sibTransId="{5A371BA8-BC82-4070-B1E6-7DFA531E9975}"/>
    <dgm:cxn modelId="{2503DA7C-CAF7-489F-A8C5-C06994E0CAEF}" type="presOf" srcId="{ACC0A61B-A552-454B-9BB8-BB475372D53F}" destId="{A481F378-8C61-4E3E-9DB7-0775A74A46E6}" srcOrd="0" destOrd="0" presId="urn:microsoft.com/office/officeart/2005/8/layout/radial3"/>
    <dgm:cxn modelId="{E3BA1DC5-0B17-4629-AD04-6E103E23C07C}" srcId="{7271AD3F-D8DD-4A2F-A860-A8CAC430F91F}" destId="{770C46DB-0418-495D-9E16-9A1C5D5D09CC}" srcOrd="0" destOrd="0" parTransId="{BA199096-87C1-4AF6-9210-DF9CD463817A}" sibTransId="{F8867154-A791-415D-993B-62324705D3BB}"/>
    <dgm:cxn modelId="{DEAEDBD7-69F4-4190-B0A0-C9E1EE3513FA}" type="presOf" srcId="{8BA62D8B-124D-49F5-8798-84B7E1381890}" destId="{BD4F65D6-6C4F-463A-B4BB-0C2CD79A44F3}" srcOrd="0" destOrd="0" presId="urn:microsoft.com/office/officeart/2005/8/layout/radial3"/>
    <dgm:cxn modelId="{603B68E2-D998-4389-99B6-94BBA5171BD0}" srcId="{770C46DB-0418-495D-9E16-9A1C5D5D09CC}" destId="{8A8EDD0B-C19B-49AA-93CC-3CA5353EAC32}" srcOrd="2" destOrd="0" parTransId="{10C16FA7-F6D8-483E-8F3A-788948E5D396}" sibTransId="{D13AE92B-4F67-479C-9524-2B7A76ACDCA4}"/>
    <dgm:cxn modelId="{DC6F54A0-2CCF-4B47-8F2D-252624989FFC}" type="presParOf" srcId="{B62982CD-7FA3-4285-910C-1F4C95A6F6E4}" destId="{914D4368-204C-41F8-AF61-F9E9E4694108}" srcOrd="0" destOrd="0" presId="urn:microsoft.com/office/officeart/2005/8/layout/radial3"/>
    <dgm:cxn modelId="{53674895-D722-4B89-BE77-45244DB26616}" type="presParOf" srcId="{914D4368-204C-41F8-AF61-F9E9E4694108}" destId="{00E13939-4825-46E4-8FB7-055F77DC0DE0}" srcOrd="0" destOrd="0" presId="urn:microsoft.com/office/officeart/2005/8/layout/radial3"/>
    <dgm:cxn modelId="{758D431C-B35B-4462-A205-EF7AED714350}" type="presParOf" srcId="{914D4368-204C-41F8-AF61-F9E9E4694108}" destId="{BD4F65D6-6C4F-463A-B4BB-0C2CD79A44F3}" srcOrd="1" destOrd="0" presId="urn:microsoft.com/office/officeart/2005/8/layout/radial3"/>
    <dgm:cxn modelId="{629EED4D-A700-4194-9B3D-6C4FEBAA01E8}" type="presParOf" srcId="{914D4368-204C-41F8-AF61-F9E9E4694108}" destId="{80E6BE6E-D350-4DCF-AA92-0322BBFB9003}" srcOrd="2" destOrd="0" presId="urn:microsoft.com/office/officeart/2005/8/layout/radial3"/>
    <dgm:cxn modelId="{5CB7C48D-62D6-49B6-A074-1FAF53DA67DB}" type="presParOf" srcId="{914D4368-204C-41F8-AF61-F9E9E4694108}" destId="{E166F9FA-5676-4957-81EF-31632461D060}" srcOrd="3" destOrd="0" presId="urn:microsoft.com/office/officeart/2005/8/layout/radial3"/>
    <dgm:cxn modelId="{B89ACCBD-4B87-4059-B75E-4B79B2099287}" type="presParOf" srcId="{914D4368-204C-41F8-AF61-F9E9E4694108}" destId="{A481F378-8C61-4E3E-9DB7-0775A74A46E6}" srcOrd="4" destOrd="0" presId="urn:microsoft.com/office/officeart/2005/8/layout/radial3"/>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E13939-4825-46E4-8FB7-055F77DC0DE0}">
      <dsp:nvSpPr>
        <dsp:cNvPr id="0" name=""/>
        <dsp:cNvSpPr/>
      </dsp:nvSpPr>
      <dsp:spPr>
        <a:xfrm>
          <a:off x="1282346" y="528786"/>
          <a:ext cx="1317327" cy="131732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marL="0" lvl="0" indent="0" algn="ctr" defTabSz="1466850">
            <a:lnSpc>
              <a:spcPct val="100000"/>
            </a:lnSpc>
            <a:spcBef>
              <a:spcPct val="0"/>
            </a:spcBef>
            <a:spcAft>
              <a:spcPct val="35000"/>
            </a:spcAft>
            <a:buNone/>
          </a:pPr>
          <a:r>
            <a:rPr lang="zh-CN" altLang="en-US" sz="3300" kern="1200"/>
            <a:t>团队</a:t>
          </a:r>
          <a:endParaRPr sz="3300" kern="1200"/>
        </a:p>
      </dsp:txBody>
      <dsp:txXfrm>
        <a:off x="1475264" y="721704"/>
        <a:ext cx="931491" cy="931491"/>
      </dsp:txXfrm>
    </dsp:sp>
    <dsp:sp modelId="{BD4F65D6-6C4F-463A-B4BB-0C2CD79A44F3}">
      <dsp:nvSpPr>
        <dsp:cNvPr id="0" name=""/>
        <dsp:cNvSpPr/>
      </dsp:nvSpPr>
      <dsp:spPr>
        <a:xfrm>
          <a:off x="1611671" y="95226"/>
          <a:ext cx="658663" cy="65866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zh-CN" altLang="en-US" sz="1600" b="1" kern="1200"/>
            <a:t>目标</a:t>
          </a:r>
        </a:p>
      </dsp:txBody>
      <dsp:txXfrm>
        <a:off x="1708130" y="191685"/>
        <a:ext cx="465745" cy="465745"/>
      </dsp:txXfrm>
    </dsp:sp>
    <dsp:sp modelId="{80E6BE6E-D350-4DCF-AA92-0322BBFB9003}">
      <dsp:nvSpPr>
        <dsp:cNvPr id="0" name=""/>
        <dsp:cNvSpPr/>
      </dsp:nvSpPr>
      <dsp:spPr>
        <a:xfrm>
          <a:off x="2357290" y="858118"/>
          <a:ext cx="658663" cy="65866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zh-CN" altLang="en-US" sz="1600" b="1" kern="1200"/>
            <a:t>技能</a:t>
          </a:r>
        </a:p>
      </dsp:txBody>
      <dsp:txXfrm>
        <a:off x="2453749" y="954577"/>
        <a:ext cx="465745" cy="465745"/>
      </dsp:txXfrm>
    </dsp:sp>
    <dsp:sp modelId="{E166F9FA-5676-4957-81EF-31632461D060}">
      <dsp:nvSpPr>
        <dsp:cNvPr id="0" name=""/>
        <dsp:cNvSpPr/>
      </dsp:nvSpPr>
      <dsp:spPr>
        <a:xfrm>
          <a:off x="1611671" y="1621001"/>
          <a:ext cx="658663" cy="65866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zh-CN" altLang="en-US" sz="1600" b="1" kern="1200"/>
            <a:t>协作</a:t>
          </a:r>
        </a:p>
      </dsp:txBody>
      <dsp:txXfrm>
        <a:off x="1708130" y="1717460"/>
        <a:ext cx="465745" cy="465745"/>
      </dsp:txXfrm>
    </dsp:sp>
    <dsp:sp modelId="{A481F378-8C61-4E3E-9DB7-0775A74A46E6}">
      <dsp:nvSpPr>
        <dsp:cNvPr id="0" name=""/>
        <dsp:cNvSpPr/>
      </dsp:nvSpPr>
      <dsp:spPr>
        <a:xfrm>
          <a:off x="866057" y="858118"/>
          <a:ext cx="658663" cy="65866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zh-CN" altLang="en-US" sz="1600" b="1" kern="1200"/>
            <a:t>责任</a:t>
          </a:r>
        </a:p>
      </dsp:txBody>
      <dsp:txXfrm>
        <a:off x="962516" y="954577"/>
        <a:ext cx="465745" cy="465745"/>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0"/>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99B2ED-1D7A-4703-8236-BEA3EFC6C84E}">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53</Pages>
  <Words>3929</Words>
  <Characters>22398</Characters>
  <Lines>186</Lines>
  <Paragraphs>52</Paragraphs>
  <TotalTime>2</TotalTime>
  <ScaleCrop>false</ScaleCrop>
  <LinksUpToDate>false</LinksUpToDate>
  <CharactersWithSpaces>26275</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2020-03-10T15:14:00Z</dcterms:created>
  <dc:creator>wang chunmei</dc:creator>
  <cp:lastModifiedBy>charming</cp:lastModifiedBy>
  <dcterms:modified xsi:type="dcterms:W3CDTF">2020-05-25T23:59:59Z</dcterms:modified>
  <cp:revision>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